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3B084">
      <w:pPr>
        <w:pStyle w:val="2"/>
        <w:shd w:val="clear" w:color="auto" w:fill="73B4F5"/>
        <w:tabs>
          <w:tab w:val="left" w:pos="562"/>
        </w:tabs>
        <w:spacing w:after="60" w:line="240" w:lineRule="auto"/>
        <w:rPr>
          <w:rFonts w:hint="eastAsia" w:ascii="思源黑体 Medium" w:hAnsi="思源黑体 Medium" w:eastAsia="思源黑体 Medium" w:cs="思源黑体 Medium"/>
          <w:emboss w:val="0"/>
          <w:color w:val="auto"/>
        </w:rPr>
      </w:pPr>
      <w:bookmarkStart w:id="0" w:name="_Toc512592960"/>
      <w:bookmarkStart w:id="1" w:name="_Toc148002282"/>
      <w:r>
        <w:rPr>
          <w:rFonts w:hint="eastAsia" w:ascii="思源黑体 Medium" w:hAnsi="思源黑体 Medium" w:eastAsia="思源黑体 Medium" w:cs="思源黑体 Medium"/>
          <w:emboss w:val="0"/>
          <w:color w:val="auto"/>
        </w:rPr>
        <w:t>CST630C阴极保护智能测试系统</w:t>
      </w:r>
    </w:p>
    <w:bookmarkEnd w:id="0"/>
    <w:bookmarkEnd w:id="1"/>
    <w:p w14:paraId="1A379158">
      <w:pPr>
        <w:pStyle w:val="3"/>
        <w:widowControl/>
        <w:numPr>
          <w:ilvl w:val="1"/>
          <w:numId w:val="1"/>
        </w:numPr>
        <w:shd w:val="clear" w:color="auto" w:fill="C3E6FF"/>
        <w:tabs>
          <w:tab w:val="left" w:pos="360"/>
        </w:tabs>
        <w:adjustRightInd/>
        <w:snapToGrid w:val="0"/>
        <w:spacing w:after="0" w:line="240" w:lineRule="atLeast"/>
        <w:ind w:left="357" w:hanging="357"/>
        <w:textAlignment w:val="auto"/>
        <w:rPr>
          <w:rFonts w:hint="eastAsia" w:ascii="思源黑体 Medium" w:hAnsi="思源黑体 Medium" w:eastAsia="思源黑体 Medium" w:cs="思源黑体 Medium"/>
          <w:b/>
          <w:sz w:val="28"/>
          <w:szCs w:val="28"/>
        </w:rPr>
      </w:pPr>
      <w:r>
        <w:rPr>
          <w:rFonts w:hint="eastAsia" w:ascii="思源黑体 Medium" w:hAnsi="思源黑体 Medium" w:eastAsia="思源黑体 Medium" w:cs="思源黑体 Medium"/>
          <w:b/>
          <w:sz w:val="28"/>
          <w:szCs w:val="28"/>
        </w:rPr>
        <w:t>仪器简介</w:t>
      </w:r>
    </w:p>
    <w:p w14:paraId="60CFAB31">
      <w:pPr>
        <w:shd w:val="clear" w:color="auto" w:fill="FFFFFF"/>
        <w:spacing w:before="156" w:beforeLines="50" w:line="240" w:lineRule="auto"/>
        <w:ind w:firstLine="357"/>
        <w:rPr>
          <w:rFonts w:hint="eastAsia" w:ascii="思源黑体 Regular" w:hAnsi="思源黑体 Regular" w:eastAsia="思源黑体 Regular" w:cs="思源黑体 Regular"/>
          <w:szCs w:val="21"/>
        </w:rPr>
      </w:pPr>
      <w:r>
        <w:rPr>
          <w:rFonts w:hint="eastAsia" w:ascii="思源黑体 Regular" w:hAnsi="思源黑体 Regular" w:eastAsia="思源黑体 Regular" w:cs="思源黑体 Regular"/>
          <w:szCs w:val="21"/>
        </w:rPr>
        <w:t>CST630C阴极保护智能测试系统专用于埋地管道的阴极保护及腐蚀状态监测，可对阴极保护参数进行可用于有无阴保状态下埋地金属试片的腐蚀速率在线监测，实时监测和数据记录，并通过无线网络将数据上传到云端服务器，实现数据的智能化采集、分析和管理。</w:t>
      </w:r>
    </w:p>
    <w:p w14:paraId="16627D12">
      <w:pPr>
        <w:pBdr>
          <w:bottom w:val="single" w:color="auto" w:sz="6" w:space="1"/>
        </w:pBdr>
        <w:shd w:val="clear" w:color="auto" w:fill="FFFFFF"/>
        <w:spacing w:before="156" w:beforeLines="50" w:line="240" w:lineRule="auto"/>
        <w:ind w:firstLine="357"/>
        <w:rPr>
          <w:rFonts w:hint="eastAsia" w:ascii="思源黑体 Regular" w:hAnsi="思源黑体 Regular" w:eastAsia="思源黑体 Regular" w:cs="思源黑体 Regular"/>
          <w:szCs w:val="21"/>
        </w:rPr>
      </w:pPr>
      <w:r>
        <w:rPr>
          <w:rFonts w:hint="eastAsia" w:ascii="思源黑体 Regular" w:hAnsi="思源黑体 Regular" w:eastAsia="思源黑体 Regular" w:cs="思源黑体 Regular"/>
          <w:szCs w:val="21"/>
        </w:rPr>
        <w:t>阴极保护监测仪采用圆柱形设计可固定安装于测试桩内。所配置的ER腐蚀探头则采用与埋地管道相同的材质，并采用防水结构设计，可直接埋入所监测管道附近，并与受保护金属结构实现电连接。可远程测量受阴极保护前后管道腐蚀速率，可以对阴极保护效果进行实时检验，避免了传统上采用失重埋片法的繁琐过程。</w:t>
      </w:r>
    </w:p>
    <w:p w14:paraId="56215BA8">
      <w:pPr>
        <w:pBdr>
          <w:bottom w:val="single" w:color="auto" w:sz="6" w:space="1"/>
        </w:pBdr>
        <w:shd w:val="clear" w:color="auto" w:fill="FFFFFF"/>
        <w:spacing w:line="240" w:lineRule="auto"/>
        <w:ind w:firstLine="630" w:firstLineChars="300"/>
        <w:rPr>
          <w:rFonts w:cs="宋体"/>
          <w:szCs w:val="21"/>
        </w:rPr>
      </w:pPr>
    </w:p>
    <w:p w14:paraId="7A57F362">
      <w:pPr>
        <w:shd w:val="clear" w:color="auto" w:fill="FFFFFF"/>
        <w:spacing w:line="240" w:lineRule="auto"/>
        <w:ind w:firstLine="630" w:firstLineChars="300"/>
        <w:jc w:val="center"/>
        <w:rPr>
          <w:rFonts w:cs="宋体"/>
          <w:szCs w:val="21"/>
        </w:rPr>
      </w:pPr>
      <w:r>
        <w:drawing>
          <wp:inline distT="0" distB="0" distL="114300" distR="114300">
            <wp:extent cx="1717675" cy="1741170"/>
            <wp:effectExtent l="0" t="0" r="0" b="0"/>
            <wp:docPr id="2" name="图片 1" descr="CST63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ST630C"/>
                    <pic:cNvPicPr>
                      <a:picLocks noChangeAspect="1"/>
                    </pic:cNvPicPr>
                  </pic:nvPicPr>
                  <pic:blipFill>
                    <a:blip r:embed="rId9"/>
                    <a:stretch>
                      <a:fillRect/>
                    </a:stretch>
                  </pic:blipFill>
                  <pic:spPr>
                    <a:xfrm>
                      <a:off x="0" y="0"/>
                      <a:ext cx="1717675" cy="1741170"/>
                    </a:xfrm>
                    <a:prstGeom prst="rect">
                      <a:avLst/>
                    </a:prstGeom>
                    <a:noFill/>
                    <a:ln>
                      <a:noFill/>
                    </a:ln>
                  </pic:spPr>
                </pic:pic>
              </a:graphicData>
            </a:graphic>
          </wp:inline>
        </w:drawing>
      </w:r>
      <w:r>
        <w:rPr>
          <w:rFonts w:hint="eastAsia"/>
        </w:rPr>
        <w:t xml:space="preserve">                 </w:t>
      </w:r>
      <w:r>
        <w:drawing>
          <wp:inline distT="0" distB="0" distL="114300" distR="114300">
            <wp:extent cx="1240155" cy="1399540"/>
            <wp:effectExtent l="0" t="0" r="17145" b="1016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0"/>
                    <a:srcRect l="23993" t="13548" r="7225" b="21046"/>
                    <a:stretch>
                      <a:fillRect/>
                    </a:stretch>
                  </pic:blipFill>
                  <pic:spPr>
                    <a:xfrm>
                      <a:off x="0" y="0"/>
                      <a:ext cx="1240155" cy="1399540"/>
                    </a:xfrm>
                    <a:prstGeom prst="rect">
                      <a:avLst/>
                    </a:prstGeom>
                    <a:noFill/>
                    <a:ln>
                      <a:noFill/>
                    </a:ln>
                  </pic:spPr>
                </pic:pic>
              </a:graphicData>
            </a:graphic>
          </wp:inline>
        </w:drawing>
      </w:r>
    </w:p>
    <w:p w14:paraId="33AF3AA5">
      <w:pPr>
        <w:pBdr>
          <w:bottom w:val="single" w:color="auto" w:sz="6" w:space="1"/>
        </w:pBdr>
        <w:ind w:firstLine="0"/>
        <w:jc w:val="center"/>
        <w:rPr>
          <w:rFonts w:hint="eastAsia" w:ascii="思源黑体 Regular" w:hAnsi="思源黑体 Regular" w:eastAsia="思源黑体 Regular" w:cs="思源黑体 Regular"/>
          <w:sz w:val="16"/>
          <w:szCs w:val="15"/>
        </w:rPr>
      </w:pPr>
      <w:r>
        <w:rPr>
          <w:rFonts w:hint="eastAsia" w:ascii="思源黑体 Regular" w:hAnsi="思源黑体 Regular" w:eastAsia="思源黑体 Regular" w:cs="思源黑体 Regular"/>
          <w:sz w:val="16"/>
          <w:szCs w:val="15"/>
        </w:rPr>
        <w:t>图1.</w:t>
      </w:r>
      <w:bookmarkStart w:id="2" w:name="OLE_LINK1"/>
      <w:r>
        <w:rPr>
          <w:rFonts w:hint="eastAsia" w:ascii="思源黑体 Regular" w:hAnsi="思源黑体 Regular" w:eastAsia="思源黑体 Regular" w:cs="思源黑体 Regular"/>
          <w:sz w:val="16"/>
          <w:szCs w:val="15"/>
        </w:rPr>
        <w:t>阴极保护监测仪</w:t>
      </w:r>
      <w:bookmarkEnd w:id="2"/>
      <w:r>
        <w:rPr>
          <w:rFonts w:hint="eastAsia" w:ascii="思源黑体 Regular" w:hAnsi="思源黑体 Regular" w:eastAsia="思源黑体 Regular" w:cs="思源黑体 Regular"/>
          <w:sz w:val="16"/>
          <w:szCs w:val="15"/>
        </w:rPr>
        <w:t xml:space="preserve">                           图2.</w:t>
      </w:r>
      <w:r>
        <w:rPr>
          <w:rFonts w:hint="eastAsia" w:ascii="思源黑体 Regular" w:hAnsi="思源黑体 Regular" w:eastAsia="思源黑体 Regular" w:cs="思源黑体 Regular"/>
          <w:sz w:val="18"/>
          <w:szCs w:val="16"/>
        </w:rPr>
        <w:t xml:space="preserve"> </w:t>
      </w:r>
      <w:r>
        <w:rPr>
          <w:rFonts w:hint="eastAsia" w:ascii="思源黑体 Regular" w:hAnsi="思源黑体 Regular" w:eastAsia="思源黑体 Regular" w:cs="思源黑体 Regular"/>
          <w:sz w:val="16"/>
          <w:szCs w:val="15"/>
        </w:rPr>
        <w:t>ER腐蚀监测探头</w:t>
      </w:r>
    </w:p>
    <w:p w14:paraId="40B08139">
      <w:pPr>
        <w:pBdr>
          <w:bottom w:val="single" w:color="auto" w:sz="6" w:space="1"/>
        </w:pBdr>
        <w:ind w:firstLine="0"/>
        <w:jc w:val="center"/>
        <w:rPr>
          <w:rFonts w:hint="eastAsia" w:ascii="思源黑体 Regular" w:hAnsi="思源黑体 Regular" w:eastAsia="思源黑体 Regular" w:cs="思源黑体 Regular"/>
          <w:sz w:val="16"/>
          <w:szCs w:val="15"/>
        </w:rPr>
      </w:pPr>
    </w:p>
    <w:p w14:paraId="027924A7">
      <w:pPr>
        <w:shd w:val="clear" w:color="auto" w:fill="FFFFFF"/>
        <w:spacing w:line="240" w:lineRule="auto"/>
        <w:ind w:firstLine="0"/>
        <w:rPr>
          <w:rFonts w:cs="宋体"/>
          <w:b/>
          <w:bCs/>
          <w:szCs w:val="21"/>
        </w:rPr>
      </w:pPr>
    </w:p>
    <w:p w14:paraId="5B64CF17">
      <w:pPr>
        <w:shd w:val="clear" w:color="auto" w:fill="FFFFFF"/>
        <w:spacing w:line="240" w:lineRule="auto"/>
        <w:ind w:firstLine="0"/>
        <w:rPr>
          <w:rFonts w:hint="eastAsia" w:ascii="思源黑体 Medium" w:hAnsi="思源黑体 Medium" w:eastAsia="思源黑体 Medium" w:cs="思源黑体 Medium"/>
          <w:b/>
          <w:bCs/>
          <w:szCs w:val="21"/>
        </w:rPr>
      </w:pPr>
      <w:r>
        <w:rPr>
          <w:rFonts w:hint="eastAsia" w:ascii="思源黑体 Medium" w:hAnsi="思源黑体 Medium" w:eastAsia="思源黑体 Medium" w:cs="思源黑体 Medium"/>
          <w:b/>
          <w:bCs/>
          <w:szCs w:val="21"/>
        </w:rPr>
        <w:t>产品特点</w:t>
      </w:r>
    </w:p>
    <w:p w14:paraId="320AE3F3">
      <w:pPr>
        <w:spacing w:before="156" w:beforeLines="50"/>
        <w:ind w:left="850" w:hanging="851" w:hangingChars="405"/>
        <w:rPr>
          <w:rFonts w:hint="eastAsia" w:ascii="思源黑体 Regular" w:hAnsi="思源黑体 Regular" w:eastAsia="思源黑体 Regular" w:cs="思源黑体 Regular"/>
        </w:rPr>
      </w:pPr>
      <w:r>
        <w:rPr>
          <w:rFonts w:hint="eastAsia" w:ascii="思源黑体 Regular" w:hAnsi="思源黑体 Regular" w:eastAsia="思源黑体 Regular" w:cs="思源黑体 Regular"/>
          <w:b/>
          <w:bCs/>
        </w:rPr>
        <w:t>适用行业:</w:t>
      </w:r>
      <w:r>
        <w:rPr>
          <w:rFonts w:hint="eastAsia" w:ascii="思源黑体 Regular" w:hAnsi="思源黑体 Regular" w:eastAsia="思源黑体 Regular" w:cs="思源黑体 Regular"/>
        </w:rPr>
        <w:t>常用于石油石化行业的埋地管道、储油罐、市政燃气管道、海港工程、地下管廊等金属构筑物的阴极保护监测。</w:t>
      </w:r>
    </w:p>
    <w:p w14:paraId="640ADE57">
      <w:pPr>
        <w:tabs>
          <w:tab w:val="left" w:pos="720"/>
        </w:tabs>
        <w:spacing w:before="156" w:beforeLines="50"/>
        <w:ind w:left="850" w:hanging="851" w:hangingChars="405"/>
        <w:rPr>
          <w:rFonts w:hint="eastAsia" w:ascii="思源黑体 Regular" w:hAnsi="思源黑体 Regular" w:eastAsia="思源黑体 Regular" w:cs="思源黑体 Regular"/>
        </w:rPr>
      </w:pPr>
      <w:r>
        <w:rPr>
          <w:rFonts w:hint="eastAsia" w:ascii="思源黑体 Regular" w:hAnsi="思源黑体 Regular" w:eastAsia="思源黑体 Regular" w:cs="思源黑体 Regular"/>
          <w:b/>
          <w:bCs/>
        </w:rPr>
        <w:t>实时监测:</w:t>
      </w:r>
      <w:r>
        <w:rPr>
          <w:rFonts w:hint="eastAsia" w:ascii="思源黑体 Regular" w:hAnsi="思源黑体 Regular" w:eastAsia="思源黑体 Regular" w:cs="思源黑体 Regular"/>
        </w:rPr>
        <w:t>能够实时监测管道的保护电位、断电电位、自然腐蚀电位、交流干扰电压、杂散电流等阴极保护参数，采用ER腐蚀监测探头还可对比阴极保护前后管道腐蚀速率。</w:t>
      </w:r>
    </w:p>
    <w:p w14:paraId="7AF16106">
      <w:pPr>
        <w:tabs>
          <w:tab w:val="left" w:pos="720"/>
        </w:tabs>
        <w:spacing w:before="156" w:beforeLines="50"/>
        <w:ind w:left="850" w:hanging="851" w:hangingChars="405"/>
        <w:rPr>
          <w:rFonts w:hint="eastAsia" w:ascii="思源黑体 Regular" w:hAnsi="思源黑体 Regular" w:eastAsia="思源黑体 Regular" w:cs="思源黑体 Regular"/>
        </w:rPr>
      </w:pPr>
      <w:r>
        <w:rPr>
          <w:rFonts w:hint="eastAsia" w:ascii="思源黑体 Regular" w:hAnsi="思源黑体 Regular" w:eastAsia="思源黑体 Regular" w:cs="思源黑体 Regular"/>
          <w:b/>
          <w:bCs/>
        </w:rPr>
        <w:t>强兼容性:</w:t>
      </w:r>
      <w:r>
        <w:rPr>
          <w:rFonts w:hint="eastAsia" w:ascii="思源黑体 Regular" w:hAnsi="思源黑体 Regular" w:eastAsia="思源黑体 Regular" w:cs="思源黑体 Regular"/>
        </w:rPr>
        <w:t>采用RS485/RJ45通信接口以及标准Modbus协议，可适配用户管理系统数据导入，也可通过4G无线网络将数据上传到云端服务器。</w:t>
      </w:r>
    </w:p>
    <w:p w14:paraId="069C6BE3">
      <w:pPr>
        <w:tabs>
          <w:tab w:val="left" w:pos="720"/>
        </w:tabs>
        <w:spacing w:before="156" w:beforeLines="50"/>
        <w:ind w:left="850" w:hanging="851" w:hangingChars="405"/>
        <w:rPr>
          <w:rFonts w:hint="eastAsia" w:ascii="思源黑体 Regular" w:hAnsi="思源黑体 Regular" w:eastAsia="思源黑体 Regular" w:cs="思源黑体 Regular"/>
        </w:rPr>
      </w:pPr>
      <w:r>
        <w:rPr>
          <w:rFonts w:hint="eastAsia" w:ascii="思源黑体 Regular" w:hAnsi="思源黑体 Regular" w:eastAsia="思源黑体 Regular" w:cs="思源黑体 Regular"/>
          <w:b/>
          <w:bCs/>
        </w:rPr>
        <w:t>数据管理:</w:t>
      </w:r>
      <w:r>
        <w:rPr>
          <w:rFonts w:hint="eastAsia" w:ascii="思源黑体 Regular" w:hAnsi="思源黑体 Regular" w:eastAsia="思源黑体 Regular" w:cs="思源黑体 Regular"/>
        </w:rPr>
        <w:t>所监测数据均同步保存于本地不易失储存器和云端服务器，通过云端数据处理和分析，并将结果呈现给用户，方便用户实时了解阴极保护系统的运行状态，及时发现和判断腐蚀风险。</w:t>
      </w:r>
    </w:p>
    <w:p w14:paraId="1E7ADEBD">
      <w:pPr>
        <w:tabs>
          <w:tab w:val="left" w:pos="720"/>
        </w:tabs>
        <w:spacing w:before="156" w:beforeLines="50"/>
        <w:ind w:left="850" w:hanging="851" w:hangingChars="405"/>
        <w:rPr>
          <w:rFonts w:hint="eastAsia" w:ascii="思源黑体 Regular" w:hAnsi="思源黑体 Regular" w:eastAsia="思源黑体 Regular" w:cs="思源黑体 Regular"/>
        </w:rPr>
      </w:pPr>
      <w:r>
        <w:rPr>
          <w:rFonts w:hint="eastAsia" w:ascii="思源黑体 Regular" w:hAnsi="思源黑体 Regular" w:eastAsia="思源黑体 Regular" w:cs="思源黑体 Regular"/>
          <w:b/>
          <w:bCs/>
        </w:rPr>
        <w:t>远程监控:</w:t>
      </w:r>
      <w:r>
        <w:rPr>
          <w:rFonts w:hint="eastAsia" w:ascii="思源黑体 Regular" w:hAnsi="思源黑体 Regular" w:eastAsia="思源黑体 Regular" w:cs="思源黑体 Regular"/>
        </w:rPr>
        <w:t>能够设置风险阈值，及时预警和处理腐蚀风险，保证管道的安全运行，提高阴极保护系统的整体安全性。</w:t>
      </w:r>
    </w:p>
    <w:p w14:paraId="440CF0D9">
      <w:pPr>
        <w:tabs>
          <w:tab w:val="left" w:pos="720"/>
        </w:tabs>
        <w:spacing w:before="156" w:beforeLines="50"/>
        <w:ind w:left="850" w:hanging="850" w:hangingChars="405"/>
        <w:rPr>
          <w:rFonts w:hint="eastAsia" w:ascii="思源黑体 Regular" w:hAnsi="思源黑体 Regular" w:eastAsia="思源黑体 Regular" w:cs="思源黑体 Regular"/>
        </w:rPr>
      </w:pPr>
    </w:p>
    <w:p w14:paraId="4CAC26CE">
      <w:pPr>
        <w:pStyle w:val="3"/>
        <w:widowControl/>
        <w:numPr>
          <w:ilvl w:val="1"/>
          <w:numId w:val="1"/>
        </w:numPr>
        <w:shd w:val="clear" w:color="auto" w:fill="C3E6FF"/>
        <w:tabs>
          <w:tab w:val="left" w:pos="360"/>
        </w:tabs>
        <w:adjustRightInd/>
        <w:snapToGrid w:val="0"/>
        <w:spacing w:after="0" w:line="240" w:lineRule="atLeast"/>
        <w:ind w:left="357" w:hanging="357"/>
        <w:textAlignment w:val="auto"/>
        <w:rPr>
          <w:rFonts w:ascii="楷体" w:hAnsi="楷体" w:eastAsia="楷体" w:cs="宋体"/>
          <w:b/>
          <w:sz w:val="28"/>
          <w:szCs w:val="28"/>
        </w:rPr>
      </w:pPr>
      <w:r>
        <w:rPr>
          <w:rFonts w:hint="eastAsia" w:ascii="思源黑体 Medium" w:hAnsi="思源黑体 Medium" w:eastAsia="思源黑体 Medium" w:cs="思源黑体 Medium"/>
          <w:b/>
          <w:sz w:val="28"/>
          <w:szCs w:val="28"/>
        </w:rPr>
        <w:t xml:space="preserve">技术指标 </w:t>
      </w:r>
      <w:r>
        <w:rPr>
          <w:rFonts w:ascii="楷体" w:hAnsi="楷体" w:eastAsia="楷体" w:cs="宋体"/>
          <w:b/>
          <w:sz w:val="28"/>
          <w:szCs w:val="28"/>
        </w:rPr>
        <w:t xml:space="preserve">                                              </w:t>
      </w:r>
    </w:p>
    <w:tbl>
      <w:tblPr>
        <w:tblStyle w:val="19"/>
        <w:tblW w:w="0" w:type="auto"/>
        <w:tblInd w:w="487" w:type="dxa"/>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Layout w:type="autofit"/>
        <w:tblCellMar>
          <w:top w:w="0" w:type="dxa"/>
          <w:left w:w="108" w:type="dxa"/>
          <w:bottom w:w="0" w:type="dxa"/>
          <w:right w:w="108" w:type="dxa"/>
        </w:tblCellMar>
      </w:tblPr>
      <w:tblGrid>
        <w:gridCol w:w="2379"/>
        <w:gridCol w:w="3924"/>
        <w:gridCol w:w="3172"/>
      </w:tblGrid>
      <w:tr w14:paraId="47B0630F">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5B9BD5"/>
          </w:tcPr>
          <w:p w14:paraId="03599A4F">
            <w:pPr>
              <w:spacing w:before="100" w:beforeAutospacing="1" w:line="360" w:lineRule="exact"/>
              <w:ind w:firstLine="0"/>
              <w:jc w:val="center"/>
              <w:rPr>
                <w:rFonts w:hint="eastAsia" w:ascii="思源黑体 Regular" w:hAnsi="思源黑体 Regular" w:eastAsia="思源黑体 Regular" w:cs="思源黑体 Regular"/>
                <w:b/>
                <w:bCs/>
                <w:color w:val="FFFFFF"/>
                <w:sz w:val="20"/>
                <w:szCs w:val="18"/>
              </w:rPr>
            </w:pPr>
            <w:r>
              <w:rPr>
                <w:rFonts w:hint="eastAsia" w:ascii="思源黑体 Regular" w:hAnsi="思源黑体 Regular" w:eastAsia="思源黑体 Regular" w:cs="思源黑体 Regular"/>
                <w:b/>
                <w:bCs/>
                <w:color w:val="FFFFFF"/>
                <w:sz w:val="20"/>
                <w:szCs w:val="18"/>
              </w:rPr>
              <w:t>产品型号</w:t>
            </w:r>
          </w:p>
        </w:tc>
        <w:tc>
          <w:tcPr>
            <w:tcW w:w="3924" w:type="dxa"/>
            <w:shd w:val="clear" w:color="auto" w:fill="5B9BD5"/>
          </w:tcPr>
          <w:p w14:paraId="1F818AA3">
            <w:pPr>
              <w:spacing w:before="100" w:beforeAutospacing="1" w:line="360" w:lineRule="exact"/>
              <w:ind w:firstLine="0"/>
              <w:jc w:val="center"/>
              <w:rPr>
                <w:rFonts w:hint="eastAsia" w:ascii="思源黑体 Regular" w:hAnsi="思源黑体 Regular" w:eastAsia="思源黑体 Regular" w:cs="思源黑体 Regular"/>
                <w:b/>
                <w:bCs/>
                <w:color w:val="FFFFFF"/>
                <w:sz w:val="20"/>
                <w:szCs w:val="18"/>
              </w:rPr>
            </w:pPr>
            <w:r>
              <w:rPr>
                <w:rFonts w:hint="eastAsia" w:ascii="思源黑体 Regular" w:hAnsi="思源黑体 Regular" w:eastAsia="思源黑体 Regular" w:cs="思源黑体 Regular"/>
                <w:b/>
                <w:bCs/>
                <w:color w:val="FFFFFF"/>
                <w:sz w:val="20"/>
                <w:szCs w:val="18"/>
              </w:rPr>
              <w:t>CST630C</w:t>
            </w:r>
          </w:p>
        </w:tc>
        <w:tc>
          <w:tcPr>
            <w:tcW w:w="3172" w:type="dxa"/>
            <w:shd w:val="clear" w:color="auto" w:fill="5B9BD5"/>
          </w:tcPr>
          <w:p w14:paraId="6DB1250C">
            <w:pPr>
              <w:spacing w:before="100" w:beforeAutospacing="1" w:line="360" w:lineRule="exact"/>
              <w:ind w:firstLine="0"/>
              <w:jc w:val="center"/>
              <w:rPr>
                <w:rFonts w:hint="eastAsia" w:ascii="思源黑体 Regular" w:hAnsi="思源黑体 Regular" w:eastAsia="思源黑体 Regular" w:cs="思源黑体 Regular"/>
                <w:b/>
                <w:bCs/>
                <w:color w:val="FFFFFF"/>
                <w:sz w:val="20"/>
                <w:szCs w:val="18"/>
              </w:rPr>
            </w:pPr>
            <w:r>
              <w:rPr>
                <w:rFonts w:hint="eastAsia" w:ascii="思源黑体 Regular" w:hAnsi="思源黑体 Regular" w:eastAsia="思源黑体 Regular" w:cs="思源黑体 Regular"/>
                <w:b/>
                <w:bCs/>
                <w:color w:val="FFFFFF"/>
                <w:sz w:val="20"/>
                <w:szCs w:val="18"/>
              </w:rPr>
              <w:t>CST630C-ER</w:t>
            </w:r>
          </w:p>
        </w:tc>
      </w:tr>
      <w:tr w14:paraId="456328A7">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2F2F2"/>
          </w:tcPr>
          <w:p w14:paraId="54D51A1A">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bCs/>
                <w:sz w:val="20"/>
                <w:szCs w:val="18"/>
              </w:rPr>
              <w:t>AD转换分辨率</w:t>
            </w:r>
          </w:p>
        </w:tc>
        <w:tc>
          <w:tcPr>
            <w:tcW w:w="7096" w:type="dxa"/>
            <w:gridSpan w:val="2"/>
            <w:shd w:val="clear" w:color="auto" w:fill="F2F2F2"/>
          </w:tcPr>
          <w:p w14:paraId="21185E57">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24bit（0.06/1,000,000）</w:t>
            </w:r>
          </w:p>
        </w:tc>
      </w:tr>
      <w:tr w14:paraId="47329E42">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FFFFF"/>
          </w:tcPr>
          <w:p w14:paraId="081B679D">
            <w:pPr>
              <w:spacing w:before="100" w:beforeAutospacing="1" w:line="360" w:lineRule="exact"/>
              <w:ind w:firstLine="0"/>
              <w:jc w:val="center"/>
              <w:rPr>
                <w:rFonts w:hint="eastAsia" w:ascii="思源黑体 Regular" w:hAnsi="思源黑体 Regular" w:eastAsia="思源黑体 Regular" w:cs="思源黑体 Regular"/>
                <w:sz w:val="20"/>
                <w:szCs w:val="18"/>
              </w:rPr>
            </w:pPr>
            <w:r>
              <w:rPr>
                <w:rFonts w:hint="eastAsia" w:ascii="思源黑体 Regular" w:hAnsi="思源黑体 Regular" w:eastAsia="思源黑体 Regular" w:cs="思源黑体 Regular"/>
                <w:sz w:val="20"/>
                <w:szCs w:val="18"/>
              </w:rPr>
              <w:t>腐蚀速率测量范围</w:t>
            </w:r>
          </w:p>
        </w:tc>
        <w:tc>
          <w:tcPr>
            <w:tcW w:w="3924" w:type="dxa"/>
            <w:shd w:val="clear" w:color="auto" w:fill="FFFFFF"/>
          </w:tcPr>
          <w:p w14:paraId="1E629674">
            <w:pPr>
              <w:spacing w:before="100" w:beforeAutospacing="1" w:line="360" w:lineRule="exact"/>
              <w:ind w:firstLine="0"/>
              <w:jc w:val="center"/>
              <w:rPr>
                <w:rFonts w:hint="eastAsia" w:ascii="思源黑体 Regular" w:hAnsi="思源黑体 Regular" w:eastAsia="思源黑体 Regular" w:cs="思源黑体 Regular"/>
                <w:sz w:val="20"/>
                <w:szCs w:val="18"/>
              </w:rPr>
            </w:pPr>
            <w:r>
              <w:rPr>
                <w:rFonts w:hint="eastAsia" w:ascii="思源黑体 Regular" w:hAnsi="思源黑体 Regular" w:eastAsia="思源黑体 Regular" w:cs="思源黑体 Regular"/>
                <w:sz w:val="20"/>
                <w:szCs w:val="18"/>
              </w:rPr>
              <w:t>/</w:t>
            </w:r>
          </w:p>
        </w:tc>
        <w:tc>
          <w:tcPr>
            <w:tcW w:w="3172" w:type="dxa"/>
            <w:shd w:val="clear" w:color="auto" w:fill="FFFFFF"/>
          </w:tcPr>
          <w:p w14:paraId="6438692F">
            <w:pPr>
              <w:spacing w:before="100" w:beforeAutospacing="1" w:line="360" w:lineRule="exact"/>
              <w:ind w:firstLine="0"/>
              <w:jc w:val="center"/>
              <w:rPr>
                <w:rFonts w:hint="eastAsia" w:ascii="思源黑体 Regular" w:hAnsi="思源黑体 Regular" w:eastAsia="思源黑体 Regular" w:cs="思源黑体 Regular"/>
                <w:sz w:val="20"/>
                <w:szCs w:val="18"/>
              </w:rPr>
            </w:pPr>
            <w:r>
              <w:rPr>
                <w:rFonts w:hint="eastAsia" w:ascii="思源黑体 Regular" w:hAnsi="思源黑体 Regular" w:eastAsia="思源黑体 Regular" w:cs="思源黑体 Regular"/>
                <w:sz w:val="20"/>
                <w:szCs w:val="18"/>
              </w:rPr>
              <w:t>0.1μm/a~10mm/a</w:t>
            </w:r>
          </w:p>
        </w:tc>
      </w:tr>
      <w:tr w14:paraId="250C0A8E">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2F2F2"/>
          </w:tcPr>
          <w:p w14:paraId="7BEE13B4">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bCs/>
                <w:sz w:val="20"/>
                <w:szCs w:val="18"/>
              </w:rPr>
              <w:t>腐蚀分辨率</w:t>
            </w:r>
          </w:p>
        </w:tc>
        <w:tc>
          <w:tcPr>
            <w:tcW w:w="3924" w:type="dxa"/>
            <w:shd w:val="clear" w:color="auto" w:fill="F2F2F2"/>
          </w:tcPr>
          <w:p w14:paraId="7776D666">
            <w:pPr>
              <w:spacing w:before="100" w:beforeAutospacing="1" w:line="360" w:lineRule="exact"/>
              <w:ind w:firstLine="0"/>
              <w:jc w:val="center"/>
              <w:rPr>
                <w:rFonts w:hint="eastAsia" w:ascii="思源黑体 Regular" w:hAnsi="思源黑体 Regular" w:eastAsia="思源黑体 Regular" w:cs="思源黑体 Regular"/>
                <w:sz w:val="20"/>
                <w:szCs w:val="18"/>
              </w:rPr>
            </w:pPr>
            <w:r>
              <w:rPr>
                <w:rFonts w:hint="eastAsia" w:ascii="思源黑体 Regular" w:hAnsi="思源黑体 Regular" w:eastAsia="思源黑体 Regular" w:cs="思源黑体 Regular"/>
                <w:sz w:val="20"/>
                <w:szCs w:val="18"/>
              </w:rPr>
              <w:t>/</w:t>
            </w:r>
          </w:p>
        </w:tc>
        <w:tc>
          <w:tcPr>
            <w:tcW w:w="3172" w:type="dxa"/>
            <w:shd w:val="clear" w:color="auto" w:fill="F2F2F2"/>
          </w:tcPr>
          <w:p w14:paraId="12F9FD35">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感受元件寿命@0.01%</w:t>
            </w:r>
          </w:p>
        </w:tc>
      </w:tr>
      <w:tr w14:paraId="323CECCB">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FFFFF"/>
          </w:tcPr>
          <w:p w14:paraId="27E65C3B">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sz w:val="20"/>
                <w:szCs w:val="18"/>
              </w:rPr>
              <w:t>电位测量范围</w:t>
            </w:r>
          </w:p>
        </w:tc>
        <w:tc>
          <w:tcPr>
            <w:tcW w:w="7096" w:type="dxa"/>
            <w:gridSpan w:val="2"/>
            <w:shd w:val="clear" w:color="auto" w:fill="FFFFFF"/>
          </w:tcPr>
          <w:p w14:paraId="201C2610">
            <w:pPr>
              <w:spacing w:before="100" w:beforeAutospacing="1" w:line="360" w:lineRule="exact"/>
              <w:ind w:firstLine="0"/>
              <w:jc w:val="center"/>
              <w:rPr>
                <w:rFonts w:hint="eastAsia" w:ascii="思源黑体 Regular" w:hAnsi="思源黑体 Regular" w:eastAsia="思源黑体 Regular" w:cs="思源黑体 Regular"/>
                <w:bCs/>
                <w:sz w:val="20"/>
                <w:szCs w:val="20"/>
              </w:rPr>
            </w:pPr>
            <w:r>
              <w:rPr>
                <w:rFonts w:hint="eastAsia" w:ascii="思源黑体 Regular" w:hAnsi="思源黑体 Regular" w:eastAsia="思源黑体 Regular" w:cs="思源黑体 Regular"/>
                <w:bCs/>
                <w:sz w:val="20"/>
                <w:szCs w:val="20"/>
              </w:rPr>
              <w:t>-2.5V～+2.5V，</w:t>
            </w:r>
            <w:r>
              <w:rPr>
                <w:rFonts w:hint="eastAsia" w:ascii="思源黑体 Regular" w:hAnsi="思源黑体 Regular" w:eastAsia="思源黑体 Regular" w:cs="思源黑体 Regular"/>
                <w:sz w:val="20"/>
                <w:szCs w:val="18"/>
              </w:rPr>
              <w:t>0.1%FS（包含保护电位、断电电位、自腐蚀电位）</w:t>
            </w:r>
          </w:p>
        </w:tc>
      </w:tr>
      <w:tr w14:paraId="5269C3CE">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2F2F2"/>
          </w:tcPr>
          <w:p w14:paraId="66550854">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sz w:val="20"/>
                <w:szCs w:val="18"/>
              </w:rPr>
              <w:t>断电采样时间</w:t>
            </w:r>
          </w:p>
        </w:tc>
        <w:tc>
          <w:tcPr>
            <w:tcW w:w="7096" w:type="dxa"/>
            <w:gridSpan w:val="2"/>
            <w:shd w:val="clear" w:color="auto" w:fill="F2F2F2"/>
          </w:tcPr>
          <w:p w14:paraId="0640CA3F">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0~1000 毫秒</w:t>
            </w:r>
          </w:p>
        </w:tc>
      </w:tr>
      <w:tr w14:paraId="5BA39DCB">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FFFFF"/>
          </w:tcPr>
          <w:p w14:paraId="3E89A5C7">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sz w:val="20"/>
                <w:szCs w:val="18"/>
              </w:rPr>
              <w:t>阴极保护电流测量范围</w:t>
            </w:r>
          </w:p>
        </w:tc>
        <w:tc>
          <w:tcPr>
            <w:tcW w:w="7096" w:type="dxa"/>
            <w:gridSpan w:val="2"/>
            <w:shd w:val="clear" w:color="auto" w:fill="FFFFFF"/>
          </w:tcPr>
          <w:p w14:paraId="30F9DE63">
            <w:pPr>
              <w:spacing w:before="100" w:beforeAutospacing="1" w:line="360" w:lineRule="exact"/>
              <w:ind w:firstLine="0"/>
              <w:jc w:val="center"/>
              <w:rPr>
                <w:rFonts w:hint="eastAsia" w:ascii="思源黑体 Regular" w:hAnsi="思源黑体 Regular" w:eastAsia="思源黑体 Regular" w:cs="思源黑体 Regular"/>
                <w:bCs/>
                <w:sz w:val="20"/>
                <w:szCs w:val="20"/>
              </w:rPr>
            </w:pPr>
            <w:r>
              <w:rPr>
                <w:rFonts w:hint="eastAsia" w:ascii="思源黑体 Regular" w:hAnsi="思源黑体 Regular" w:eastAsia="思源黑体 Regular" w:cs="思源黑体 Regular"/>
                <w:bCs/>
                <w:sz w:val="20"/>
                <w:szCs w:val="20"/>
              </w:rPr>
              <w:t>0~250mA，</w:t>
            </w:r>
            <w:r>
              <w:rPr>
                <w:rFonts w:hint="eastAsia" w:ascii="思源黑体 Regular" w:hAnsi="思源黑体 Regular" w:eastAsia="思源黑体 Regular" w:cs="思源黑体 Regular"/>
                <w:sz w:val="20"/>
                <w:szCs w:val="18"/>
              </w:rPr>
              <w:t>0.1%FS</w:t>
            </w:r>
          </w:p>
        </w:tc>
      </w:tr>
      <w:tr w14:paraId="61C90DB4">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2F2F2"/>
          </w:tcPr>
          <w:p w14:paraId="2EE963CB">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sz w:val="20"/>
                <w:szCs w:val="18"/>
              </w:rPr>
              <w:t>交流干扰电位</w:t>
            </w:r>
          </w:p>
        </w:tc>
        <w:tc>
          <w:tcPr>
            <w:tcW w:w="7096" w:type="dxa"/>
            <w:gridSpan w:val="2"/>
            <w:shd w:val="clear" w:color="auto" w:fill="F2F2F2"/>
          </w:tcPr>
          <w:p w14:paraId="1E359DED">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0~80V，±0.5V</w:t>
            </w:r>
          </w:p>
        </w:tc>
      </w:tr>
      <w:tr w14:paraId="2A0FD48C">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FFFFF"/>
          </w:tcPr>
          <w:p w14:paraId="791F9DE9">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sz w:val="20"/>
                <w:szCs w:val="18"/>
              </w:rPr>
              <w:t>温度测量范围</w:t>
            </w:r>
          </w:p>
        </w:tc>
        <w:tc>
          <w:tcPr>
            <w:tcW w:w="7096" w:type="dxa"/>
            <w:gridSpan w:val="2"/>
            <w:shd w:val="clear" w:color="auto" w:fill="FFFFFF"/>
          </w:tcPr>
          <w:p w14:paraId="159284E7">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-30～+60℃，±1℃</w:t>
            </w:r>
          </w:p>
        </w:tc>
      </w:tr>
      <w:tr w14:paraId="0851AF88">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2F2F2"/>
          </w:tcPr>
          <w:p w14:paraId="598CD2E9">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sz w:val="20"/>
                <w:szCs w:val="18"/>
              </w:rPr>
              <w:t>数据存储容量</w:t>
            </w:r>
          </w:p>
        </w:tc>
        <w:tc>
          <w:tcPr>
            <w:tcW w:w="7096" w:type="dxa"/>
            <w:gridSpan w:val="2"/>
            <w:shd w:val="clear" w:color="auto" w:fill="F2F2F2"/>
          </w:tcPr>
          <w:p w14:paraId="3CD67680">
            <w:pPr>
              <w:spacing w:before="100" w:beforeAutospacing="1" w:line="360" w:lineRule="exact"/>
              <w:ind w:firstLine="0"/>
              <w:jc w:val="center"/>
              <w:rPr>
                <w:rFonts w:hint="eastAsia" w:ascii="思源黑体 Regular" w:hAnsi="思源黑体 Regular" w:eastAsia="思源黑体 Regular" w:cs="思源黑体 Regular"/>
                <w:sz w:val="20"/>
                <w:szCs w:val="18"/>
              </w:rPr>
            </w:pPr>
            <w:r>
              <w:rPr>
                <w:rFonts w:hint="eastAsia" w:ascii="思源黑体 Regular" w:hAnsi="思源黑体 Regular" w:eastAsia="思源黑体 Regular" w:cs="思源黑体 Regular"/>
                <w:sz w:val="20"/>
                <w:szCs w:val="18"/>
              </w:rPr>
              <w:t>8 M bytes 可存储</w:t>
            </w:r>
            <w:r>
              <w:rPr>
                <w:rFonts w:hint="eastAsia" w:ascii="思源黑体 Regular" w:hAnsi="思源黑体 Regular" w:eastAsia="思源黑体 Regular" w:cs="思源黑体 Regular"/>
                <w:bCs/>
                <w:sz w:val="20"/>
                <w:szCs w:val="20"/>
              </w:rPr>
              <w:t>100,000</w:t>
            </w:r>
            <w:r>
              <w:rPr>
                <w:rFonts w:hint="eastAsia" w:ascii="思源黑体 Regular" w:hAnsi="思源黑体 Regular" w:eastAsia="思源黑体 Regular" w:cs="思源黑体 Regular"/>
                <w:sz w:val="20"/>
                <w:szCs w:val="18"/>
              </w:rPr>
              <w:t>条数据</w:t>
            </w:r>
          </w:p>
        </w:tc>
      </w:tr>
      <w:tr w14:paraId="298DD592">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FFFFF"/>
          </w:tcPr>
          <w:p w14:paraId="40C7A915">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bCs/>
                <w:sz w:val="20"/>
                <w:szCs w:val="18"/>
              </w:rPr>
              <w:t>RTC时钟误差</w:t>
            </w:r>
          </w:p>
        </w:tc>
        <w:tc>
          <w:tcPr>
            <w:tcW w:w="7096" w:type="dxa"/>
            <w:gridSpan w:val="2"/>
            <w:shd w:val="clear" w:color="auto" w:fill="FFFFFF"/>
          </w:tcPr>
          <w:p w14:paraId="59483678">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&lt;1分钟/月</w:t>
            </w:r>
          </w:p>
        </w:tc>
      </w:tr>
      <w:tr w14:paraId="797C87BB">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2F2F2"/>
          </w:tcPr>
          <w:p w14:paraId="41471642">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sz w:val="20"/>
                <w:szCs w:val="18"/>
              </w:rPr>
              <w:t>定时测量间隔</w:t>
            </w:r>
          </w:p>
        </w:tc>
        <w:tc>
          <w:tcPr>
            <w:tcW w:w="7096" w:type="dxa"/>
            <w:gridSpan w:val="2"/>
            <w:shd w:val="clear" w:color="auto" w:fill="F2F2F2"/>
          </w:tcPr>
          <w:p w14:paraId="3C2EBE9E">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1～255小时</w:t>
            </w:r>
          </w:p>
        </w:tc>
      </w:tr>
      <w:tr w14:paraId="62A54631">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FFFFF"/>
          </w:tcPr>
          <w:p w14:paraId="39700FCA">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bCs/>
                <w:sz w:val="20"/>
                <w:szCs w:val="18"/>
              </w:rPr>
              <w:t>通信方式</w:t>
            </w:r>
          </w:p>
        </w:tc>
        <w:tc>
          <w:tcPr>
            <w:tcW w:w="7096" w:type="dxa"/>
            <w:gridSpan w:val="2"/>
            <w:shd w:val="clear" w:color="auto" w:fill="FFFFFF"/>
          </w:tcPr>
          <w:p w14:paraId="68586F17">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RS485，GPRS，Lora可选（标准Modbus协议）</w:t>
            </w:r>
          </w:p>
        </w:tc>
      </w:tr>
      <w:tr w14:paraId="41D6A488">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2F2F2"/>
          </w:tcPr>
          <w:p w14:paraId="7982AF85">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bCs/>
                <w:sz w:val="20"/>
                <w:szCs w:val="18"/>
              </w:rPr>
              <w:t>供电方式</w:t>
            </w:r>
          </w:p>
        </w:tc>
        <w:tc>
          <w:tcPr>
            <w:tcW w:w="7096" w:type="dxa"/>
            <w:gridSpan w:val="2"/>
            <w:shd w:val="clear" w:color="auto" w:fill="F2F2F2"/>
          </w:tcPr>
          <w:p w14:paraId="64D50562">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DC12V ~24V，市电或太阳能供电。</w:t>
            </w:r>
          </w:p>
        </w:tc>
      </w:tr>
      <w:tr w14:paraId="638F4DE3">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FFFFF"/>
          </w:tcPr>
          <w:p w14:paraId="0ECB14A9">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尺寸</w:t>
            </w:r>
          </w:p>
        </w:tc>
        <w:tc>
          <w:tcPr>
            <w:tcW w:w="7096" w:type="dxa"/>
            <w:gridSpan w:val="2"/>
            <w:shd w:val="clear" w:color="auto" w:fill="FFFFFF"/>
          </w:tcPr>
          <w:p w14:paraId="1507B3F4">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Φ100*228mm（可适配测试桩）</w:t>
            </w:r>
          </w:p>
        </w:tc>
      </w:tr>
      <w:tr w14:paraId="45EEAEBE">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2F2F2"/>
          </w:tcPr>
          <w:p w14:paraId="6272CD98">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bCs/>
                <w:sz w:val="20"/>
                <w:szCs w:val="18"/>
              </w:rPr>
              <w:t>重量</w:t>
            </w:r>
          </w:p>
        </w:tc>
        <w:tc>
          <w:tcPr>
            <w:tcW w:w="7096" w:type="dxa"/>
            <w:gridSpan w:val="2"/>
            <w:shd w:val="clear" w:color="auto" w:fill="F2F2F2"/>
          </w:tcPr>
          <w:p w14:paraId="3A17FCAA">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1.5kg</w:t>
            </w:r>
          </w:p>
        </w:tc>
      </w:tr>
      <w:tr w14:paraId="74E05676">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FFFFF"/>
          </w:tcPr>
          <w:p w14:paraId="70B29B5E">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bCs/>
                <w:sz w:val="20"/>
                <w:szCs w:val="18"/>
              </w:rPr>
              <w:t>工作温度</w:t>
            </w:r>
          </w:p>
        </w:tc>
        <w:tc>
          <w:tcPr>
            <w:tcW w:w="7096" w:type="dxa"/>
            <w:gridSpan w:val="2"/>
            <w:shd w:val="clear" w:color="auto" w:fill="FFFFFF"/>
          </w:tcPr>
          <w:p w14:paraId="7EC13C8F">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-30</w:t>
            </w:r>
            <w:r>
              <w:rPr>
                <w:rFonts w:hint="eastAsia" w:ascii="思源黑体 Regular" w:hAnsi="思源黑体 Regular" w:eastAsia="思源黑体 Regular" w:cs="思源黑体 Regular"/>
                <w:bCs/>
                <w:sz w:val="20"/>
                <w:szCs w:val="18"/>
              </w:rPr>
              <w:sym w:font="Symbol" w:char="F0B0"/>
            </w:r>
            <w:r>
              <w:rPr>
                <w:rFonts w:hint="eastAsia" w:ascii="思源黑体 Regular" w:hAnsi="思源黑体 Regular" w:eastAsia="思源黑体 Regular" w:cs="思源黑体 Regular"/>
                <w:bCs/>
                <w:sz w:val="20"/>
                <w:szCs w:val="18"/>
              </w:rPr>
              <w:t>C~60</w:t>
            </w:r>
            <w:r>
              <w:rPr>
                <w:rFonts w:hint="eastAsia" w:ascii="思源黑体 Regular" w:hAnsi="思源黑体 Regular" w:eastAsia="思源黑体 Regular" w:cs="思源黑体 Regular"/>
                <w:bCs/>
                <w:sz w:val="20"/>
                <w:szCs w:val="18"/>
              </w:rPr>
              <w:sym w:font="Symbol" w:char="F0B0"/>
            </w:r>
            <w:r>
              <w:rPr>
                <w:rFonts w:hint="eastAsia" w:ascii="思源黑体 Regular" w:hAnsi="思源黑体 Regular" w:eastAsia="思源黑体 Regular" w:cs="思源黑体 Regular"/>
                <w:bCs/>
                <w:sz w:val="20"/>
                <w:szCs w:val="18"/>
              </w:rPr>
              <w:t>C</w:t>
            </w:r>
          </w:p>
        </w:tc>
      </w:tr>
      <w:tr w14:paraId="5053D3B2">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2F2F2"/>
          </w:tcPr>
          <w:p w14:paraId="5D61D1DE">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sz w:val="20"/>
                <w:szCs w:val="18"/>
              </w:rPr>
              <w:t>工作湿度</w:t>
            </w:r>
          </w:p>
        </w:tc>
        <w:tc>
          <w:tcPr>
            <w:tcW w:w="7096" w:type="dxa"/>
            <w:gridSpan w:val="2"/>
            <w:shd w:val="clear" w:color="auto" w:fill="F2F2F2"/>
          </w:tcPr>
          <w:p w14:paraId="076DEA97">
            <w:pPr>
              <w:spacing w:before="100" w:beforeAutospacing="1" w:line="360" w:lineRule="exact"/>
              <w:ind w:firstLine="0"/>
              <w:jc w:val="center"/>
              <w:rPr>
                <w:rFonts w:hint="eastAsia" w:ascii="思源黑体 Regular" w:hAnsi="思源黑体 Regular" w:eastAsia="思源黑体 Regular" w:cs="思源黑体 Regular"/>
                <w:bCs/>
                <w:sz w:val="20"/>
                <w:szCs w:val="18"/>
              </w:rPr>
            </w:pPr>
            <w:r>
              <w:rPr>
                <w:rFonts w:hint="eastAsia" w:ascii="思源黑体 Regular" w:hAnsi="思源黑体 Regular" w:eastAsia="思源黑体 Regular" w:cs="思源黑体 Regular"/>
                <w:bCs/>
                <w:sz w:val="20"/>
                <w:szCs w:val="18"/>
              </w:rPr>
              <w:t>≤95%（无冷凝）</w:t>
            </w:r>
          </w:p>
        </w:tc>
      </w:tr>
      <w:tr w14:paraId="4658C7A1">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FFFFF"/>
          </w:tcPr>
          <w:p w14:paraId="3AED3359">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sz w:val="20"/>
                <w:szCs w:val="18"/>
              </w:rPr>
              <w:t>外壳材料</w:t>
            </w:r>
          </w:p>
        </w:tc>
        <w:tc>
          <w:tcPr>
            <w:tcW w:w="7096" w:type="dxa"/>
            <w:gridSpan w:val="2"/>
            <w:shd w:val="clear" w:color="auto" w:fill="FFFFFF"/>
          </w:tcPr>
          <w:p w14:paraId="452B3B6C">
            <w:pPr>
              <w:spacing w:before="100" w:beforeAutospacing="1" w:line="360" w:lineRule="exact"/>
              <w:ind w:firstLine="0"/>
              <w:jc w:val="center"/>
              <w:rPr>
                <w:rFonts w:hint="eastAsia" w:ascii="思源黑体 Regular" w:hAnsi="思源黑体 Regular" w:eastAsia="思源黑体 Regular" w:cs="思源黑体 Regular"/>
                <w:sz w:val="20"/>
                <w:szCs w:val="18"/>
              </w:rPr>
            </w:pPr>
            <w:r>
              <w:rPr>
                <w:rFonts w:hint="eastAsia" w:ascii="思源黑体 Regular" w:hAnsi="思源黑体 Regular" w:eastAsia="思源黑体 Regular" w:cs="思源黑体 Regular"/>
                <w:sz w:val="20"/>
                <w:szCs w:val="18"/>
              </w:rPr>
              <w:t>耐候工程塑料</w:t>
            </w:r>
          </w:p>
        </w:tc>
      </w:tr>
      <w:tr w14:paraId="56303422">
        <w:tblPrEx>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tblCellMar>
            <w:top w:w="0" w:type="dxa"/>
            <w:left w:w="108" w:type="dxa"/>
            <w:bottom w:w="0" w:type="dxa"/>
            <w:right w:w="108" w:type="dxa"/>
          </w:tblCellMar>
        </w:tblPrEx>
        <w:tc>
          <w:tcPr>
            <w:tcW w:w="2379" w:type="dxa"/>
            <w:shd w:val="clear" w:color="auto" w:fill="F2F2F2"/>
          </w:tcPr>
          <w:p w14:paraId="56EF56EF">
            <w:pPr>
              <w:spacing w:before="100" w:beforeAutospacing="1" w:line="360" w:lineRule="exact"/>
              <w:ind w:firstLine="0"/>
              <w:jc w:val="center"/>
              <w:rPr>
                <w:rFonts w:hint="eastAsia" w:ascii="思源黑体 Regular" w:hAnsi="思源黑体 Regular" w:eastAsia="思源黑体 Regular" w:cs="思源黑体 Regular"/>
                <w:b/>
                <w:bCs/>
                <w:sz w:val="20"/>
                <w:szCs w:val="18"/>
              </w:rPr>
            </w:pPr>
            <w:r>
              <w:rPr>
                <w:rFonts w:hint="eastAsia" w:ascii="思源黑体 Regular" w:hAnsi="思源黑体 Regular" w:eastAsia="思源黑体 Regular" w:cs="思源黑体 Regular"/>
                <w:sz w:val="20"/>
                <w:szCs w:val="18"/>
              </w:rPr>
              <w:t>防护等级</w:t>
            </w:r>
          </w:p>
        </w:tc>
        <w:tc>
          <w:tcPr>
            <w:tcW w:w="7096" w:type="dxa"/>
            <w:gridSpan w:val="2"/>
            <w:shd w:val="clear" w:color="auto" w:fill="F2F2F2"/>
          </w:tcPr>
          <w:p w14:paraId="04694BF2">
            <w:pPr>
              <w:spacing w:before="100" w:beforeAutospacing="1" w:line="360" w:lineRule="exact"/>
              <w:ind w:firstLine="0"/>
              <w:jc w:val="center"/>
              <w:rPr>
                <w:rFonts w:hint="eastAsia" w:ascii="思源黑体 Regular" w:hAnsi="思源黑体 Regular" w:eastAsia="思源黑体 Regular" w:cs="思源黑体 Regular"/>
                <w:sz w:val="20"/>
                <w:szCs w:val="18"/>
              </w:rPr>
            </w:pPr>
            <w:r>
              <w:rPr>
                <w:rFonts w:hint="eastAsia" w:ascii="思源黑体 Regular" w:hAnsi="思源黑体 Regular" w:eastAsia="思源黑体 Regular" w:cs="思源黑体 Regular"/>
                <w:sz w:val="20"/>
                <w:szCs w:val="18"/>
              </w:rPr>
              <w:t>IP65</w:t>
            </w:r>
          </w:p>
        </w:tc>
      </w:tr>
    </w:tbl>
    <w:p w14:paraId="124CD5E5">
      <w:pPr>
        <w:shd w:val="clear" w:color="auto" w:fill="FFFFFF"/>
        <w:spacing w:line="240" w:lineRule="auto"/>
        <w:ind w:firstLine="0"/>
        <w:jc w:val="center"/>
      </w:pPr>
    </w:p>
    <w:p w14:paraId="5289AAC2">
      <w:pPr>
        <w:shd w:val="clear" w:color="auto" w:fill="FFFFFF"/>
        <w:spacing w:line="240" w:lineRule="auto"/>
        <w:ind w:firstLine="0"/>
        <w:jc w:val="both"/>
        <w:rPr>
          <w:rFonts w:hint="eastAsia" w:ascii="思源黑体 Regular" w:hAnsi="思源黑体 Regular" w:eastAsia="思源黑体 Regular" w:cs="思源黑体 Regular"/>
        </w:rPr>
      </w:pPr>
      <w:bookmarkStart w:id="3" w:name="_GoBack"/>
      <w:bookmarkEnd w:id="3"/>
    </w:p>
    <w:p w14:paraId="434B24CA">
      <w:pPr>
        <w:pStyle w:val="3"/>
        <w:widowControl/>
        <w:numPr>
          <w:ilvl w:val="1"/>
          <w:numId w:val="1"/>
        </w:numPr>
        <w:shd w:val="clear" w:color="auto" w:fill="C3E6FF"/>
        <w:tabs>
          <w:tab w:val="left" w:pos="360"/>
        </w:tabs>
        <w:adjustRightInd/>
        <w:snapToGrid w:val="0"/>
        <w:spacing w:after="0" w:line="240" w:lineRule="atLeast"/>
        <w:ind w:left="357" w:hanging="357"/>
        <w:textAlignment w:val="auto"/>
        <w:rPr>
          <w:rFonts w:ascii="Times New Roman" w:hAnsi="Times New Roman"/>
          <w:b/>
          <w:szCs w:val="22"/>
        </w:rPr>
      </w:pPr>
      <w:r>
        <w:rPr>
          <w:rFonts w:hint="eastAsia" w:ascii="思源黑体 Medium" w:hAnsi="思源黑体 Medium" w:eastAsia="思源黑体 Medium" w:cs="思源黑体 Medium"/>
          <w:b/>
          <w:sz w:val="28"/>
          <w:szCs w:val="28"/>
        </w:rPr>
        <w:t>安装示意图</w:t>
      </w:r>
      <w:r>
        <w:rPr>
          <w:rFonts w:hint="eastAsia" w:ascii="Times New Roman" w:hAnsi="Times New Roman"/>
          <w:b/>
          <w:sz w:val="28"/>
          <w:szCs w:val="28"/>
        </w:rPr>
        <w:t xml:space="preserve"> </w:t>
      </w:r>
      <w:r>
        <w:rPr>
          <w:rFonts w:ascii="Times New Roman" w:hAnsi="Times New Roman"/>
          <w:b/>
          <w:szCs w:val="22"/>
        </w:rPr>
        <w:t xml:space="preserve">                                               </w:t>
      </w:r>
    </w:p>
    <w:p w14:paraId="78C03EC8">
      <w:pPr>
        <w:shd w:val="clear" w:color="auto" w:fill="FFFFFF"/>
        <w:spacing w:line="240" w:lineRule="auto"/>
        <w:ind w:firstLine="0"/>
        <w:jc w:val="center"/>
      </w:pPr>
      <w:r>
        <w:drawing>
          <wp:inline distT="0" distB="0" distL="114300" distR="114300">
            <wp:extent cx="5899785" cy="3315970"/>
            <wp:effectExtent l="0" t="0" r="5715" b="17780"/>
            <wp:docPr id="4" name="图片 4" descr="081728dda8f84dc568e30c99e0af4c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81728dda8f84dc568e30c99e0af4c7b"/>
                    <pic:cNvPicPr>
                      <a:picLocks noChangeAspect="1"/>
                    </pic:cNvPicPr>
                  </pic:nvPicPr>
                  <pic:blipFill>
                    <a:blip r:embed="rId11"/>
                    <a:stretch>
                      <a:fillRect/>
                    </a:stretch>
                  </pic:blipFill>
                  <pic:spPr>
                    <a:xfrm>
                      <a:off x="0" y="0"/>
                      <a:ext cx="5899785" cy="3315970"/>
                    </a:xfrm>
                    <a:prstGeom prst="rect">
                      <a:avLst/>
                    </a:prstGeom>
                    <a:noFill/>
                    <a:ln>
                      <a:noFill/>
                    </a:ln>
                  </pic:spPr>
                </pic:pic>
              </a:graphicData>
            </a:graphic>
          </wp:inline>
        </w:drawing>
      </w:r>
    </w:p>
    <w:p w14:paraId="63BFFEF3">
      <w:pPr>
        <w:shd w:val="clear" w:color="auto" w:fill="FFFFFF"/>
        <w:spacing w:line="240" w:lineRule="auto"/>
        <w:ind w:firstLine="0"/>
        <w:jc w:val="center"/>
        <w:rPr>
          <w:rFonts w:hint="eastAsia" w:ascii="思源黑体 Regular" w:hAnsi="思源黑体 Regular" w:eastAsia="思源黑体 Regular" w:cs="思源黑体 Regular"/>
        </w:rPr>
      </w:pPr>
      <w:r>
        <w:rPr>
          <w:rFonts w:hint="eastAsia" w:ascii="思源黑体 Regular" w:hAnsi="思源黑体 Regular" w:eastAsia="思源黑体 Regular" w:cs="思源黑体 Regular"/>
        </w:rPr>
        <w:t>图2. CST630C-ER阴极保护智能测试桩工作示意图</w:t>
      </w:r>
    </w:p>
    <w:p w14:paraId="031D61CE">
      <w:pPr>
        <w:pStyle w:val="3"/>
        <w:widowControl/>
        <w:numPr>
          <w:ilvl w:val="1"/>
          <w:numId w:val="1"/>
        </w:numPr>
        <w:shd w:val="clear" w:color="auto" w:fill="C3E6FF"/>
        <w:tabs>
          <w:tab w:val="left" w:pos="360"/>
        </w:tabs>
        <w:adjustRightInd/>
        <w:snapToGrid w:val="0"/>
        <w:spacing w:after="0" w:line="240" w:lineRule="atLeast"/>
        <w:ind w:left="357" w:hanging="357"/>
        <w:textAlignment w:val="auto"/>
        <w:rPr>
          <w:rFonts w:hint="eastAsia" w:ascii="思源黑体 Medium" w:hAnsi="思源黑体 Medium" w:eastAsia="思源黑体 Medium" w:cs="思源黑体 Medium"/>
          <w:b/>
          <w:sz w:val="28"/>
          <w:szCs w:val="28"/>
        </w:rPr>
      </w:pPr>
      <w:r>
        <w:rPr>
          <w:rFonts w:hint="eastAsia" w:ascii="思源黑体 Medium" w:hAnsi="思源黑体 Medium" w:eastAsia="思源黑体 Medium" w:cs="思源黑体 Medium"/>
          <w:b/>
          <w:sz w:val="28"/>
          <w:szCs w:val="28"/>
        </w:rPr>
        <w:t>案例介绍</w:t>
      </w:r>
    </w:p>
    <w:p w14:paraId="193DC426">
      <w:pPr>
        <w:ind w:firstLine="0"/>
        <w:jc w:val="center"/>
      </w:pPr>
      <w:r>
        <w:drawing>
          <wp:inline distT="0" distB="0" distL="114300" distR="114300">
            <wp:extent cx="1503045" cy="2035810"/>
            <wp:effectExtent l="0" t="0" r="1905" b="2540"/>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12"/>
                    <a:stretch>
                      <a:fillRect/>
                    </a:stretch>
                  </pic:blipFill>
                  <pic:spPr>
                    <a:xfrm>
                      <a:off x="0" y="0"/>
                      <a:ext cx="1503045" cy="2035810"/>
                    </a:xfrm>
                    <a:prstGeom prst="rect">
                      <a:avLst/>
                    </a:prstGeom>
                    <a:noFill/>
                    <a:ln>
                      <a:noFill/>
                    </a:ln>
                  </pic:spPr>
                </pic:pic>
              </a:graphicData>
            </a:graphic>
          </wp:inline>
        </w:drawing>
      </w:r>
      <w:r>
        <w:rPr>
          <w:rFonts w:hint="eastAsia"/>
        </w:rPr>
        <w:t xml:space="preserve">  </w:t>
      </w:r>
      <w:r>
        <w:drawing>
          <wp:inline distT="0" distB="0" distL="114300" distR="114300">
            <wp:extent cx="4118610" cy="2027555"/>
            <wp:effectExtent l="0" t="0" r="15240" b="1079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4118610" cy="2027555"/>
                    </a:xfrm>
                    <a:prstGeom prst="rect">
                      <a:avLst/>
                    </a:prstGeom>
                    <a:noFill/>
                    <a:ln>
                      <a:noFill/>
                    </a:ln>
                  </pic:spPr>
                </pic:pic>
              </a:graphicData>
            </a:graphic>
          </wp:inline>
        </w:drawing>
      </w:r>
    </w:p>
    <w:p w14:paraId="201F4D13">
      <w:pPr>
        <w:ind w:firstLine="0"/>
      </w:pPr>
      <w:r>
        <mc:AlternateContent>
          <mc:Choice Requires="wps">
            <w:drawing>
              <wp:anchor distT="45720" distB="45720" distL="114300" distR="114300" simplePos="0" relativeHeight="251659264" behindDoc="0" locked="0" layoutInCell="1" allowOverlap="1">
                <wp:simplePos x="0" y="0"/>
                <wp:positionH relativeFrom="column">
                  <wp:posOffset>131445</wp:posOffset>
                </wp:positionH>
                <wp:positionV relativeFrom="paragraph">
                  <wp:posOffset>110490</wp:posOffset>
                </wp:positionV>
                <wp:extent cx="5680075" cy="342265"/>
                <wp:effectExtent l="0" t="0" r="15875" b="635"/>
                <wp:wrapSquare wrapText="bothSides"/>
                <wp:docPr id="1" name="文本框 2"/>
                <wp:cNvGraphicFramePr/>
                <a:graphic xmlns:a="http://schemas.openxmlformats.org/drawingml/2006/main">
                  <a:graphicData uri="http://schemas.microsoft.com/office/word/2010/wordprocessingShape">
                    <wps:wsp>
                      <wps:cNvSpPr txBox="1"/>
                      <wps:spPr>
                        <a:xfrm>
                          <a:off x="0" y="0"/>
                          <a:ext cx="5680075" cy="342265"/>
                        </a:xfrm>
                        <a:prstGeom prst="rect">
                          <a:avLst/>
                        </a:prstGeom>
                        <a:solidFill>
                          <a:srgbClr val="FFFFFF"/>
                        </a:solidFill>
                        <a:ln>
                          <a:noFill/>
                        </a:ln>
                      </wps:spPr>
                      <wps:txbx>
                        <w:txbxContent>
                          <w:p w14:paraId="72F49599">
                            <w:pPr>
                              <w:jc w:val="center"/>
                              <w:rPr>
                                <w:rFonts w:ascii="宋体" w:hAnsi="宋体" w:eastAsia="宋体" w:cs="宋体"/>
                                <w:sz w:val="24"/>
                                <w:szCs w:val="24"/>
                              </w:rPr>
                            </w:pPr>
                            <w:r>
                              <w:rPr>
                                <w:rFonts w:hint="eastAsia" w:ascii="思源黑体 Regular" w:hAnsi="思源黑体 Regular" w:eastAsia="思源黑体 Regular" w:cs="思源黑体 Regular"/>
                              </w:rPr>
                              <w:t xml:space="preserve">用于燃气管道实时监测管道的阴极保护状态     </w:t>
                            </w:r>
                            <w:r>
                              <w:rPr>
                                <w:rFonts w:hint="eastAsia" w:ascii="宋体" w:hAnsi="宋体" w:eastAsia="宋体" w:cs="宋体"/>
                                <w:color w:val="000000"/>
                                <w:sz w:val="24"/>
                                <w:szCs w:val="24"/>
                                <w:shd w:val="clear" w:color="auto" w:fill="FFFFFF"/>
                              </w:rPr>
                              <w:t xml:space="preserve">         </w:t>
                            </w:r>
                          </w:p>
                        </w:txbxContent>
                      </wps:txbx>
                      <wps:bodyPr upright="1">
                        <a:spAutoFit/>
                      </wps:bodyPr>
                    </wps:wsp>
                  </a:graphicData>
                </a:graphic>
                <wp14:sizeRelH relativeFrom="margin">
                  <wp14:pctWidth>0</wp14:pctWidth>
                </wp14:sizeRelH>
                <wp14:sizeRelV relativeFrom="margin">
                  <wp14:pctHeight>20000</wp14:pctHeight>
                </wp14:sizeRelV>
              </wp:anchor>
            </w:drawing>
          </mc:Choice>
          <mc:Fallback>
            <w:pict>
              <v:shape id="文本框 2" o:spid="_x0000_s1026" o:spt="202" type="#_x0000_t202" style="position:absolute;left:0pt;margin-left:10.35pt;margin-top:8.7pt;height:26.95pt;width:447.25pt;mso-wrap-distance-bottom:3.6pt;mso-wrap-distance-left:9pt;mso-wrap-distance-right:9pt;mso-wrap-distance-top:3.6pt;z-index:251659264;mso-width-relative:margin;mso-height-relative:margin;mso-height-percent:200;" fillcolor="#FFFFFF" filled="t" stroked="f" coordsize="21600,21600" o:gfxdata="UEsDBAoAAAAAAIdO4kAAAAAAAAAAAAAAAAAEAAAAZHJzL1BLAwQUAAAACACHTuJAZm7KWtcAAAAI&#10;AQAADwAAAGRycy9kb3ducmV2LnhtbE2PzU7DMBCE70i8g7VI3KidQAmEOBWi4sIBqQUJjm68iSPi&#10;H9luGt6e5QTH2RnNfNtsFjuxGWMavZNQrAQwdJ3XoxskvL89X90BS1k5rSbvUMI3Jti052eNqrU/&#10;uR3O+zwwKnGpVhJMzqHmPHUGrUorH9CR1/toVSYZB66jOlG5nXgpxC23anS0YFTAJ4Pd1/5oJXxY&#10;M+ptfP3s9TRvX/rHdVhikPLyohAPwDIu+S8Mv/iEDi0xHfzR6cQmCaWoKEn36gYY+ffFugR2kFAV&#10;18Dbhv9/oP0BUEsDBBQAAAAIAIdO4kBcJPmYywEAAJEDAAAOAAAAZHJzL2Uyb0RvYy54bWytU02O&#10;0zAU3iNxB8t7mjTQMoqajoCqbBAgDRzAdezEkv/k5zbpBeAGrNiw51w9B89O6MCwmQVZOPZ7nz+/&#10;73v25nY0mpxEAOVsQ5eLkhJhuWuV7Rr6+dP+2Q0lEJltmXZWNPQsgN5unz7ZDL4WleudbkUgSGKh&#10;HnxD+xh9XRTAe2EYLJwXFpPSBcMiLkNXtIENyG50UZXluhhcaH1wXABgdDcl6cwYHkPopFRc7Bw/&#10;GmHjxBqEZhElQa880G2uVkrB4wcpQUSiG4pKYx7xEJwf0lhsN6zuAvO94nMJ7DElPNBkmLJ46JVq&#10;xyIjx6D+oTKKBwdOxgV3ppiEZEdQxbJ84M1dz7zIWtBq8FfT4f/R8venj4GoFm8CJZYZbPjl29fL&#10;95+XH19IlewZPNSIuvOIi+NrNyboHAcMJtWjDCb9UQ/BPJp7vporxkg4Blfrm7J8uaKEY+75i6pa&#10;rxJNcb/bB4hvhTMkTRoasHnZU3Z6B3GC/oakw8Bp1e6V1nkRusMbHciJYaP3+ZvZ/4Jpm8DWpW0T&#10;Y4oUSeOkJc3ieBhngQfXnlH30QfV9VjTMhcE/tUxIkcuKu2YYDMRdirLmm9Vugp/rjPq/iVt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mbspa1wAAAAgBAAAPAAAAAAAAAAEAIAAAACIAAABkcnMv&#10;ZG93bnJldi54bWxQSwECFAAUAAAACACHTuJAXCT5mMsBAACRAwAADgAAAAAAAAABACAAAAAmAQAA&#10;ZHJzL2Uyb0RvYy54bWxQSwUGAAAAAAYABgBZAQAAYwUAAAAA&#10;">
                <v:fill on="t" focussize="0,0"/>
                <v:stroke on="f"/>
                <v:imagedata o:title=""/>
                <o:lock v:ext="edit" aspectratio="f"/>
                <v:textbox style="mso-fit-shape-to-text:t;">
                  <w:txbxContent>
                    <w:p w14:paraId="72F49599">
                      <w:pPr>
                        <w:jc w:val="center"/>
                        <w:rPr>
                          <w:rFonts w:ascii="宋体" w:hAnsi="宋体" w:eastAsia="宋体" w:cs="宋体"/>
                          <w:sz w:val="24"/>
                          <w:szCs w:val="24"/>
                        </w:rPr>
                      </w:pPr>
                      <w:r>
                        <w:rPr>
                          <w:rFonts w:hint="eastAsia" w:ascii="思源黑体 Regular" w:hAnsi="思源黑体 Regular" w:eastAsia="思源黑体 Regular" w:cs="思源黑体 Regular"/>
                        </w:rPr>
                        <w:t xml:space="preserve">用于燃气管道实时监测管道的阴极保护状态     </w:t>
                      </w:r>
                      <w:r>
                        <w:rPr>
                          <w:rFonts w:hint="eastAsia" w:ascii="宋体" w:hAnsi="宋体" w:eastAsia="宋体" w:cs="宋体"/>
                          <w:color w:val="000000"/>
                          <w:sz w:val="24"/>
                          <w:szCs w:val="24"/>
                          <w:shd w:val="clear" w:color="auto" w:fill="FFFFFF"/>
                        </w:rPr>
                        <w:t xml:space="preserve">         </w:t>
                      </w:r>
                    </w:p>
                  </w:txbxContent>
                </v:textbox>
                <w10:wrap type="square"/>
              </v:shape>
            </w:pict>
          </mc:Fallback>
        </mc:AlternateContent>
      </w:r>
    </w:p>
    <w:p w14:paraId="53799DC8">
      <w:pPr>
        <w:ind w:firstLine="0"/>
      </w:pPr>
    </w:p>
    <w:p w14:paraId="7BA6E070">
      <w:pPr>
        <w:ind w:firstLine="0"/>
      </w:pPr>
    </w:p>
    <w:sectPr>
      <w:headerReference r:id="rId5" w:type="default"/>
      <w:footerReference r:id="rId6" w:type="default"/>
      <w:footerReference r:id="rId7" w:type="even"/>
      <w:type w:val="continuous"/>
      <w:pgSz w:w="11906" w:h="16838"/>
      <w:pgMar w:top="1440" w:right="1080" w:bottom="1440" w:left="1080" w:header="851" w:footer="724"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思源黑体 Medium">
    <w:panose1 w:val="020B0600000000000000"/>
    <w:charset w:val="86"/>
    <w:family w:val="auto"/>
    <w:pitch w:val="default"/>
    <w:sig w:usb0="30000003" w:usb1="2BDF3C10" w:usb2="00000016" w:usb3="00000000" w:csb0="602E0107"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Light">
    <w:panose1 w:val="02010600030101010101"/>
    <w:charset w:val="86"/>
    <w:family w:val="auto"/>
    <w:pitch w:val="default"/>
    <w:sig w:usb0="A00002BF" w:usb1="38CF7CFA" w:usb2="00000016" w:usb3="00000000" w:csb0="0004000F" w:csb1="00000000"/>
  </w:font>
  <w:font w:name="思源黑体 Regular">
    <w:panose1 w:val="020B05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7A6DB">
    <w:pPr>
      <w:pStyle w:val="16"/>
      <w:jc w:val="center"/>
    </w:pPr>
    <w:r>
      <w:fldChar w:fldCharType="begin"/>
    </w:r>
    <w:r>
      <w:rPr>
        <w:rStyle w:val="23"/>
      </w:rPr>
      <w:instrText xml:space="preserve">PAGE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DFC97">
    <w:pPr>
      <w:pStyle w:val="16"/>
      <w:framePr w:wrap="around" w:vAnchor="text" w:hAnchor="margin" w:xAlign="center" w:y="1"/>
      <w:rPr>
        <w:rStyle w:val="23"/>
      </w:rPr>
    </w:pPr>
    <w:r>
      <w:fldChar w:fldCharType="begin"/>
    </w:r>
    <w:r>
      <w:rPr>
        <w:rStyle w:val="23"/>
      </w:rPr>
      <w:instrText xml:space="preserve">PAGE  </w:instrText>
    </w:r>
    <w:r>
      <w:fldChar w:fldCharType="separate"/>
    </w:r>
    <w:r>
      <w:fldChar w:fldCharType="end"/>
    </w:r>
  </w:p>
  <w:p w14:paraId="1C0FE3C8">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0BC0">
    <w:pPr>
      <w:pBdr>
        <w:bottom w:val="single" w:color="auto" w:sz="4" w:space="7"/>
      </w:pBdr>
      <w:snapToGrid w:val="0"/>
      <w:spacing w:line="240" w:lineRule="atLeast"/>
      <w:ind w:firstLine="0"/>
      <w:rPr>
        <w:rFonts w:eastAsia="宋体"/>
        <w:sz w:val="18"/>
        <w:szCs w:val="18"/>
      </w:rPr>
    </w:pPr>
    <w:r>
      <w:rPr>
        <w:sz w:val="18"/>
        <w:szCs w:val="18"/>
      </w:rPr>
      <w:drawing>
        <wp:anchor distT="0" distB="0" distL="114300" distR="114300" simplePos="0" relativeHeight="251660288" behindDoc="1" locked="0" layoutInCell="1" allowOverlap="1">
          <wp:simplePos x="0" y="0"/>
          <wp:positionH relativeFrom="column">
            <wp:posOffset>222885</wp:posOffset>
          </wp:positionH>
          <wp:positionV relativeFrom="paragraph">
            <wp:posOffset>-381000</wp:posOffset>
          </wp:positionV>
          <wp:extent cx="980440" cy="757555"/>
          <wp:effectExtent l="0" t="0" r="10160" b="4445"/>
          <wp:wrapTight wrapText="bothSides">
            <wp:wrapPolygon>
              <wp:start x="21592" y="-2"/>
              <wp:lineTo x="0" y="0"/>
              <wp:lineTo x="0" y="21600"/>
              <wp:lineTo x="21592" y="21602"/>
              <wp:lineTo x="8" y="21602"/>
              <wp:lineTo x="21600" y="21600"/>
              <wp:lineTo x="21600" y="0"/>
              <wp:lineTo x="8" y="-2"/>
              <wp:lineTo x="21592" y="-2"/>
            </wp:wrapPolygon>
          </wp:wrapTight>
          <wp:docPr id="7" name="图片 2" descr="logo_corrp-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logo_corrp-new"/>
                  <pic:cNvPicPr>
                    <a:picLocks noChangeAspect="1"/>
                  </pic:cNvPicPr>
                </pic:nvPicPr>
                <pic:blipFill>
                  <a:blip r:embed="rId1"/>
                  <a:srcRect r="-3346" b="20148"/>
                  <a:stretch>
                    <a:fillRect/>
                  </a:stretch>
                </pic:blipFill>
                <pic:spPr>
                  <a:xfrm>
                    <a:off x="0" y="0"/>
                    <a:ext cx="980440" cy="757555"/>
                  </a:xfrm>
                  <a:prstGeom prst="rect">
                    <a:avLst/>
                  </a:prstGeom>
                  <a:noFill/>
                  <a:ln>
                    <a:noFill/>
                  </a:ln>
                </pic:spPr>
              </pic:pic>
            </a:graphicData>
          </a:graphic>
        </wp:anchor>
      </w:drawing>
    </w:r>
    <w:r>
      <w:rPr>
        <w:sz w:val="18"/>
        <w:szCs w:val="18"/>
      </w:rPr>
      <w:t xml:space="preserve">                      </w:t>
    </w:r>
    <w:r>
      <w:rPr>
        <w:rFonts w:hint="eastAsia"/>
        <w:sz w:val="18"/>
        <w:szCs w:val="18"/>
      </w:rPr>
      <w:t xml:space="preserve">            </w:t>
    </w:r>
    <w:r>
      <w:rPr>
        <w:sz w:val="18"/>
        <w:szCs w:val="18"/>
      </w:rPr>
      <w:t xml:space="preserve">   </w:t>
    </w:r>
    <w:r>
      <w:rPr>
        <w:rFonts w:eastAsia="宋体"/>
        <w:sz w:val="20"/>
      </w:rPr>
      <w:t>武汉柯普防腐工程有限公司     Tel：027-67849450, 13971066778</w:t>
    </w:r>
  </w:p>
  <w:p w14:paraId="2295FFA8">
    <w:pPr>
      <w:pBdr>
        <w:bottom w:val="single" w:color="auto" w:sz="4" w:space="7"/>
      </w:pBdr>
      <w:snapToGrid w:val="0"/>
      <w:spacing w:line="240" w:lineRule="atLeast"/>
      <w:ind w:firstLine="0"/>
    </w:pPr>
    <w:r>
      <w:rPr>
        <w:sz w:val="18"/>
        <w:szCs w:val="18"/>
      </w:rPr>
      <w:t xml:space="preserve">                       </w:t>
    </w:r>
    <w:r>
      <w:rPr>
        <w:rFonts w:hint="eastAsia"/>
        <w:sz w:val="18"/>
        <w:szCs w:val="18"/>
      </w:rPr>
      <w:t xml:space="preserve">           </w:t>
    </w:r>
    <w:r>
      <w:rPr>
        <w:sz w:val="18"/>
        <w:szCs w:val="18"/>
      </w:rPr>
      <w:t xml:space="preserve">   </w:t>
    </w:r>
    <w:r>
      <w:fldChar w:fldCharType="begin"/>
    </w:r>
    <w:r>
      <w:instrText xml:space="preserve"> HYPERLINK "http://www.corrtest.com.cn" </w:instrText>
    </w:r>
    <w:r>
      <w:fldChar w:fldCharType="separate"/>
    </w:r>
    <w:r>
      <w:rPr>
        <w:rStyle w:val="24"/>
        <w:rFonts w:eastAsia="宋体"/>
        <w:sz w:val="20"/>
        <w:u w:val="none"/>
      </w:rPr>
      <w:t>http://www.corrp.com.cn</w:t>
    </w:r>
    <w:r>
      <w:rPr>
        <w:rStyle w:val="24"/>
        <w:rFonts w:eastAsia="宋体"/>
        <w:sz w:val="20"/>
        <w:u w:val="none"/>
      </w:rPr>
      <w:fldChar w:fldCharType="end"/>
    </w:r>
    <w:r>
      <w:rPr>
        <w:rFonts w:eastAsia="宋体"/>
        <w:color w:val="0000FF"/>
        <w:sz w:val="20"/>
      </w:rPr>
      <w:t xml:space="preserve"> </w:t>
    </w:r>
    <w:r>
      <w:rPr>
        <w:rFonts w:eastAsia="宋体"/>
        <w:sz w:val="20"/>
      </w:rPr>
      <w:t xml:space="preserve">   </w:t>
    </w:r>
    <w:r>
      <w:rPr>
        <w:rFonts w:hint="eastAsia" w:eastAsia="宋体"/>
        <w:sz w:val="20"/>
      </w:rPr>
      <w:t xml:space="preserve">   </w:t>
    </w:r>
    <w:r>
      <w:rPr>
        <w:rFonts w:eastAsia="宋体"/>
        <w:sz w:val="20"/>
      </w:rPr>
      <w:t xml:space="preserve">  Email: </w:t>
    </w:r>
    <w:r>
      <w:fldChar w:fldCharType="begin"/>
    </w:r>
    <w:r>
      <w:instrText xml:space="preserve"> HYPERLINK "mailto:sales@corrtest.com.cn" </w:instrText>
    </w:r>
    <w:r>
      <w:fldChar w:fldCharType="separate"/>
    </w:r>
    <w:r>
      <w:rPr>
        <w:rFonts w:eastAsia="宋体"/>
        <w:color w:val="0000FF"/>
        <w:sz w:val="20"/>
      </w:rPr>
      <w:t>sales@corrtest.com.cn</w:t>
    </w:r>
    <w:r>
      <w:rPr>
        <w:rFonts w:eastAsia="宋体"/>
        <w:color w:val="0000FF"/>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1B1D12"/>
    <w:multiLevelType w:val="multilevel"/>
    <w:tmpl w:val="611B1D12"/>
    <w:lvl w:ilvl="0" w:tentative="0">
      <w:start w:val="1"/>
      <w:numFmt w:val="chineseCountingThousand"/>
      <w:lvlText w:val="%1、"/>
      <w:lvlJc w:val="left"/>
      <w:pPr>
        <w:tabs>
          <w:tab w:val="left" w:pos="420"/>
        </w:tabs>
        <w:ind w:left="420" w:hanging="420"/>
      </w:pPr>
      <w:rPr>
        <w:rFonts w:hint="default"/>
      </w:rPr>
    </w:lvl>
    <w:lvl w:ilvl="1" w:tentative="0">
      <w:start w:val="1"/>
      <w:numFmt w:val="decimal"/>
      <w:lvlText w:val="%2."/>
      <w:lvlJc w:val="left"/>
      <w:pPr>
        <w:tabs>
          <w:tab w:val="left" w:pos="420"/>
        </w:tabs>
        <w:ind w:left="420" w:hanging="420"/>
      </w:pPr>
      <w:rPr>
        <w:rFonts w:hint="default" w:ascii="Times New Roman" w:hAnsi="Times New Roman" w:cs="Times New Roman"/>
        <w:b/>
        <w:bCs/>
        <w:color w:val="auto"/>
        <w:sz w:val="28"/>
        <w:szCs w:val="28"/>
      </w:r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noPunctuationKerning w:val="1"/>
  <w:characterSpacingControl w:val="compressPunctuation"/>
  <w:doNotValidateAgainstSchema/>
  <w:doNotDemarcateInvalidXml/>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kODllZDU0NTM0OWM3MjgwNzQ4MmI2MzI0ODY0ZjMifQ=="/>
  </w:docVars>
  <w:rsids>
    <w:rsidRoot w:val="00172A27"/>
    <w:rsid w:val="00000695"/>
    <w:rsid w:val="00002240"/>
    <w:rsid w:val="00005F38"/>
    <w:rsid w:val="0001780D"/>
    <w:rsid w:val="00027642"/>
    <w:rsid w:val="00053E6D"/>
    <w:rsid w:val="00083431"/>
    <w:rsid w:val="000A2561"/>
    <w:rsid w:val="000B0C94"/>
    <w:rsid w:val="000E2973"/>
    <w:rsid w:val="000E3BD3"/>
    <w:rsid w:val="000E41F2"/>
    <w:rsid w:val="000F7C9C"/>
    <w:rsid w:val="00103B08"/>
    <w:rsid w:val="00117D1A"/>
    <w:rsid w:val="00131A4B"/>
    <w:rsid w:val="001329B6"/>
    <w:rsid w:val="001417CF"/>
    <w:rsid w:val="0016530E"/>
    <w:rsid w:val="00167D53"/>
    <w:rsid w:val="00172A27"/>
    <w:rsid w:val="00184313"/>
    <w:rsid w:val="0018696C"/>
    <w:rsid w:val="001968AF"/>
    <w:rsid w:val="001A06C4"/>
    <w:rsid w:val="001A7E37"/>
    <w:rsid w:val="001B2813"/>
    <w:rsid w:val="001B7737"/>
    <w:rsid w:val="00207C2C"/>
    <w:rsid w:val="0021520E"/>
    <w:rsid w:val="002264C1"/>
    <w:rsid w:val="00232D16"/>
    <w:rsid w:val="002358B1"/>
    <w:rsid w:val="002417EE"/>
    <w:rsid w:val="00264F30"/>
    <w:rsid w:val="00271562"/>
    <w:rsid w:val="00282BFE"/>
    <w:rsid w:val="002862B0"/>
    <w:rsid w:val="0029503E"/>
    <w:rsid w:val="002E70F2"/>
    <w:rsid w:val="002F647B"/>
    <w:rsid w:val="003411FA"/>
    <w:rsid w:val="00352090"/>
    <w:rsid w:val="00355774"/>
    <w:rsid w:val="003760EE"/>
    <w:rsid w:val="00385B4E"/>
    <w:rsid w:val="00393C86"/>
    <w:rsid w:val="0039522D"/>
    <w:rsid w:val="003A1A37"/>
    <w:rsid w:val="003A2F7E"/>
    <w:rsid w:val="003F04E2"/>
    <w:rsid w:val="0040059B"/>
    <w:rsid w:val="00417FBE"/>
    <w:rsid w:val="00425C4B"/>
    <w:rsid w:val="004322DA"/>
    <w:rsid w:val="00437AD6"/>
    <w:rsid w:val="00437F50"/>
    <w:rsid w:val="00441C0D"/>
    <w:rsid w:val="004464F6"/>
    <w:rsid w:val="0046115F"/>
    <w:rsid w:val="00466E6C"/>
    <w:rsid w:val="00471E97"/>
    <w:rsid w:val="004A59F8"/>
    <w:rsid w:val="004A68BE"/>
    <w:rsid w:val="004B284F"/>
    <w:rsid w:val="004D560F"/>
    <w:rsid w:val="004E1893"/>
    <w:rsid w:val="004E78C7"/>
    <w:rsid w:val="004F50BB"/>
    <w:rsid w:val="00514092"/>
    <w:rsid w:val="00532419"/>
    <w:rsid w:val="00537FA0"/>
    <w:rsid w:val="0054495D"/>
    <w:rsid w:val="00546203"/>
    <w:rsid w:val="00557034"/>
    <w:rsid w:val="00567B8F"/>
    <w:rsid w:val="00567BB7"/>
    <w:rsid w:val="005722AE"/>
    <w:rsid w:val="00574F4C"/>
    <w:rsid w:val="00585F17"/>
    <w:rsid w:val="005A5EE7"/>
    <w:rsid w:val="005A7990"/>
    <w:rsid w:val="005B0C5D"/>
    <w:rsid w:val="005B1355"/>
    <w:rsid w:val="005B1FE9"/>
    <w:rsid w:val="005C03D2"/>
    <w:rsid w:val="005D157F"/>
    <w:rsid w:val="005D4EE1"/>
    <w:rsid w:val="005E0C81"/>
    <w:rsid w:val="00615BFA"/>
    <w:rsid w:val="006449F7"/>
    <w:rsid w:val="00645015"/>
    <w:rsid w:val="006535AC"/>
    <w:rsid w:val="00663DF5"/>
    <w:rsid w:val="0067139A"/>
    <w:rsid w:val="0067585E"/>
    <w:rsid w:val="006B4331"/>
    <w:rsid w:val="006D45D9"/>
    <w:rsid w:val="006E5458"/>
    <w:rsid w:val="006E7BC4"/>
    <w:rsid w:val="00711034"/>
    <w:rsid w:val="00713F35"/>
    <w:rsid w:val="007147F6"/>
    <w:rsid w:val="00734053"/>
    <w:rsid w:val="00744E6B"/>
    <w:rsid w:val="007726EB"/>
    <w:rsid w:val="007958DE"/>
    <w:rsid w:val="007C63DA"/>
    <w:rsid w:val="007E0BB2"/>
    <w:rsid w:val="007E1AC9"/>
    <w:rsid w:val="007F32B5"/>
    <w:rsid w:val="008119B1"/>
    <w:rsid w:val="008229C3"/>
    <w:rsid w:val="008715A3"/>
    <w:rsid w:val="00885708"/>
    <w:rsid w:val="00890D91"/>
    <w:rsid w:val="00891A41"/>
    <w:rsid w:val="00893881"/>
    <w:rsid w:val="0089728F"/>
    <w:rsid w:val="008A0E5C"/>
    <w:rsid w:val="008B2CB3"/>
    <w:rsid w:val="008B45F7"/>
    <w:rsid w:val="008D03BC"/>
    <w:rsid w:val="008F58C0"/>
    <w:rsid w:val="00912DE6"/>
    <w:rsid w:val="00934888"/>
    <w:rsid w:val="009606DA"/>
    <w:rsid w:val="009657B8"/>
    <w:rsid w:val="0098282F"/>
    <w:rsid w:val="009E582B"/>
    <w:rsid w:val="009F0401"/>
    <w:rsid w:val="009F28DF"/>
    <w:rsid w:val="00A42711"/>
    <w:rsid w:val="00A45CF1"/>
    <w:rsid w:val="00A47E8C"/>
    <w:rsid w:val="00A843F2"/>
    <w:rsid w:val="00AB2187"/>
    <w:rsid w:val="00AB3ED9"/>
    <w:rsid w:val="00AC0F39"/>
    <w:rsid w:val="00AC5C05"/>
    <w:rsid w:val="00AF2D90"/>
    <w:rsid w:val="00AF3931"/>
    <w:rsid w:val="00B17049"/>
    <w:rsid w:val="00B17A4F"/>
    <w:rsid w:val="00B527DB"/>
    <w:rsid w:val="00B5725D"/>
    <w:rsid w:val="00B62D73"/>
    <w:rsid w:val="00B80255"/>
    <w:rsid w:val="00B90B39"/>
    <w:rsid w:val="00B96D7D"/>
    <w:rsid w:val="00BA0133"/>
    <w:rsid w:val="00BC0EC8"/>
    <w:rsid w:val="00BC1DD3"/>
    <w:rsid w:val="00BC74A7"/>
    <w:rsid w:val="00BD0AB6"/>
    <w:rsid w:val="00BE1F4F"/>
    <w:rsid w:val="00C036DA"/>
    <w:rsid w:val="00C42E8B"/>
    <w:rsid w:val="00C46E84"/>
    <w:rsid w:val="00C5010A"/>
    <w:rsid w:val="00C57220"/>
    <w:rsid w:val="00C63803"/>
    <w:rsid w:val="00C74C52"/>
    <w:rsid w:val="00C75F0F"/>
    <w:rsid w:val="00C86723"/>
    <w:rsid w:val="00C92AA4"/>
    <w:rsid w:val="00CB3970"/>
    <w:rsid w:val="00CB78B0"/>
    <w:rsid w:val="00CC46F4"/>
    <w:rsid w:val="00CC4D28"/>
    <w:rsid w:val="00D0461A"/>
    <w:rsid w:val="00D362E0"/>
    <w:rsid w:val="00D54987"/>
    <w:rsid w:val="00D63DEB"/>
    <w:rsid w:val="00D84BEB"/>
    <w:rsid w:val="00DA27C2"/>
    <w:rsid w:val="00DC245D"/>
    <w:rsid w:val="00DC47C8"/>
    <w:rsid w:val="00DC571B"/>
    <w:rsid w:val="00DC6268"/>
    <w:rsid w:val="00DD0C1A"/>
    <w:rsid w:val="00DE68B3"/>
    <w:rsid w:val="00E074C7"/>
    <w:rsid w:val="00E23EE8"/>
    <w:rsid w:val="00E30FD7"/>
    <w:rsid w:val="00E41096"/>
    <w:rsid w:val="00E675A6"/>
    <w:rsid w:val="00EB5006"/>
    <w:rsid w:val="00EC09E7"/>
    <w:rsid w:val="00EC6487"/>
    <w:rsid w:val="00ED2BBE"/>
    <w:rsid w:val="00ED5BBF"/>
    <w:rsid w:val="00F04FA0"/>
    <w:rsid w:val="00F07903"/>
    <w:rsid w:val="00F43287"/>
    <w:rsid w:val="00F539F7"/>
    <w:rsid w:val="00FA5AE8"/>
    <w:rsid w:val="00FA77E5"/>
    <w:rsid w:val="00FC142E"/>
    <w:rsid w:val="00FC58D9"/>
    <w:rsid w:val="00FD2039"/>
    <w:rsid w:val="01AD57A3"/>
    <w:rsid w:val="092F6C1B"/>
    <w:rsid w:val="098D3D4A"/>
    <w:rsid w:val="11A97E2F"/>
    <w:rsid w:val="126318EA"/>
    <w:rsid w:val="17460E2E"/>
    <w:rsid w:val="19761777"/>
    <w:rsid w:val="1D061166"/>
    <w:rsid w:val="1FD878B3"/>
    <w:rsid w:val="20784E15"/>
    <w:rsid w:val="21736FE3"/>
    <w:rsid w:val="217F121E"/>
    <w:rsid w:val="229702BA"/>
    <w:rsid w:val="27286223"/>
    <w:rsid w:val="27623E4F"/>
    <w:rsid w:val="279C0F94"/>
    <w:rsid w:val="290D4B73"/>
    <w:rsid w:val="2AC3545F"/>
    <w:rsid w:val="2CE071B3"/>
    <w:rsid w:val="2E0C4DEE"/>
    <w:rsid w:val="306779EF"/>
    <w:rsid w:val="34894A3A"/>
    <w:rsid w:val="34D66E0E"/>
    <w:rsid w:val="366817A6"/>
    <w:rsid w:val="370D58E0"/>
    <w:rsid w:val="38C715AE"/>
    <w:rsid w:val="39F81AB6"/>
    <w:rsid w:val="3B1874C8"/>
    <w:rsid w:val="3CD937D0"/>
    <w:rsid w:val="3F4721FD"/>
    <w:rsid w:val="475278BE"/>
    <w:rsid w:val="4BDB1490"/>
    <w:rsid w:val="4E753801"/>
    <w:rsid w:val="53BC7F15"/>
    <w:rsid w:val="5883799D"/>
    <w:rsid w:val="5BC37751"/>
    <w:rsid w:val="5BF973D2"/>
    <w:rsid w:val="5D081CE4"/>
    <w:rsid w:val="5D1E10AB"/>
    <w:rsid w:val="5FB87691"/>
    <w:rsid w:val="609B5287"/>
    <w:rsid w:val="612B3B42"/>
    <w:rsid w:val="62402031"/>
    <w:rsid w:val="64CC05C4"/>
    <w:rsid w:val="65C14192"/>
    <w:rsid w:val="65F3639C"/>
    <w:rsid w:val="6A7306B3"/>
    <w:rsid w:val="6B253826"/>
    <w:rsid w:val="6FE46FD5"/>
    <w:rsid w:val="725E40D0"/>
    <w:rsid w:val="774A4354"/>
    <w:rsid w:val="7803238B"/>
    <w:rsid w:val="7B89D1F8"/>
    <w:rsid w:val="7B8F752B"/>
    <w:rsid w:val="7CF829D3"/>
    <w:rsid w:val="7D4E02AA"/>
    <w:rsid w:val="7DFF35F5"/>
    <w:rsid w:val="7EF30850"/>
    <w:rsid w:val="7F022407"/>
    <w:rsid w:val="7F1BCBF5"/>
    <w:rsid w:val="AEFFC6B1"/>
    <w:rsid w:val="B7CE8C4B"/>
    <w:rsid w:val="EFDCE070"/>
    <w:rsid w:val="EFFB398A"/>
    <w:rsid w:val="FAEF8E9A"/>
    <w:rsid w:val="FFF7B91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type="frame" on="t" color2="#FFFFFF" focussize="0,0" recolor="t"/>
      <v:stroke weight="1.25pt" color="#739CC3"/>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80" w:lineRule="atLeast"/>
      <w:ind w:firstLine="425"/>
      <w:jc w:val="both"/>
      <w:textAlignment w:val="baseline"/>
    </w:pPr>
    <w:rPr>
      <w:rFonts w:ascii="Times New Roman" w:hAnsi="Times New Roman" w:eastAsia="华文中宋" w:cs="Times New Roman"/>
      <w:kern w:val="2"/>
      <w:sz w:val="21"/>
      <w:lang w:val="en-US" w:eastAsia="zh-CN" w:bidi="ar-SA"/>
    </w:rPr>
  </w:style>
  <w:style w:type="paragraph" w:styleId="2">
    <w:name w:val="heading 1"/>
    <w:basedOn w:val="1"/>
    <w:next w:val="1"/>
    <w:qFormat/>
    <w:uiPriority w:val="0"/>
    <w:pPr>
      <w:keepNext/>
      <w:keepLines/>
      <w:shd w:val="clear" w:color="auto" w:fill="33CCCC"/>
      <w:snapToGrid w:val="0"/>
      <w:spacing w:before="60" w:after="120" w:line="360" w:lineRule="atLeast"/>
      <w:ind w:firstLine="0"/>
      <w:outlineLvl w:val="0"/>
    </w:pPr>
    <w:rPr>
      <w:rFonts w:ascii="Arial" w:hAnsi="Arial" w:eastAsia="黑体"/>
      <w:outline/>
      <w:color w:val="000000"/>
      <w:kern w:val="44"/>
      <w:sz w:val="30"/>
      <w:szCs w:val="30"/>
      <w14:shadow w14:blurRad="0" w14:dist="25400" w14:dir="13500000" w14:sx="0" w14:sy="0" w14:kx="0" w14:ky="0" w14:algn="none">
        <w14:srgbClr w14:val="000000">
          <w14:alpha w14:val="50000"/>
        </w14:srgbClr>
      </w14:shadow>
      <w14:textOutline w14:w="9525" w14:cap="flat" w14:cmpd="sng" w14:algn="ctr">
        <w14:solidFill>
          <w14:srgbClr w14:val="000000"/>
        </w14:solidFill>
        <w14:prstDash w14:val="solid"/>
        <w14:round/>
      </w14:textOutline>
      <w14:textFill>
        <w14:noFill/>
      </w14:textFill>
    </w:rPr>
  </w:style>
  <w:style w:type="paragraph" w:styleId="3">
    <w:name w:val="heading 2"/>
    <w:basedOn w:val="1"/>
    <w:next w:val="1"/>
    <w:link w:val="40"/>
    <w:qFormat/>
    <w:uiPriority w:val="0"/>
    <w:pPr>
      <w:keepNext/>
      <w:keepLines/>
      <w:tabs>
        <w:tab w:val="left" w:pos="145"/>
      </w:tabs>
      <w:spacing w:after="120" w:line="360" w:lineRule="atLeast"/>
      <w:ind w:left="995" w:hanging="425"/>
      <w:outlineLvl w:val="1"/>
    </w:pPr>
    <w:rPr>
      <w:rFonts w:ascii="Arial" w:hAnsi="Arial" w:eastAsia="楷体_GB2312"/>
      <w:kern w:val="0"/>
      <w:sz w:val="24"/>
    </w:rPr>
  </w:style>
  <w:style w:type="paragraph" w:styleId="4">
    <w:name w:val="heading 3"/>
    <w:basedOn w:val="1"/>
    <w:next w:val="1"/>
    <w:qFormat/>
    <w:uiPriority w:val="0"/>
    <w:pPr>
      <w:keepNext/>
      <w:keepLines/>
      <w:spacing w:line="340" w:lineRule="atLeast"/>
      <w:outlineLvl w:val="2"/>
    </w:pPr>
    <w:rPr>
      <w:rFonts w:eastAsia="仿宋_GB2312"/>
      <w:b/>
      <w:bCs/>
      <w:sz w:val="30"/>
      <w:szCs w:val="32"/>
    </w:rPr>
  </w:style>
  <w:style w:type="paragraph" w:styleId="5">
    <w:name w:val="heading 4"/>
    <w:basedOn w:val="1"/>
    <w:next w:val="1"/>
    <w:qFormat/>
    <w:uiPriority w:val="0"/>
    <w:pPr>
      <w:keepNext/>
      <w:keepLines/>
      <w:spacing w:before="280" w:after="290" w:line="376" w:lineRule="atLeast"/>
      <w:outlineLvl w:val="3"/>
    </w:pPr>
    <w:rPr>
      <w:rFonts w:ascii="Arial" w:hAnsi="Arial" w:eastAsia="黑体"/>
      <w:b/>
      <w:bCs/>
      <w:sz w:val="28"/>
      <w:szCs w:val="28"/>
    </w:rPr>
  </w:style>
  <w:style w:type="paragraph" w:styleId="6">
    <w:name w:val="heading 5"/>
    <w:basedOn w:val="1"/>
    <w:next w:val="1"/>
    <w:qFormat/>
    <w:uiPriority w:val="0"/>
    <w:pPr>
      <w:keepNext/>
      <w:keepLines/>
      <w:tabs>
        <w:tab w:val="left" w:pos="0"/>
      </w:tabs>
      <w:spacing w:before="280" w:after="290" w:line="376" w:lineRule="atLeast"/>
      <w:ind w:left="2125" w:hanging="425"/>
      <w:jc w:val="left"/>
      <w:outlineLvl w:val="4"/>
    </w:pPr>
    <w:rPr>
      <w:rFonts w:ascii="宋体"/>
      <w:b/>
      <w:kern w:val="0"/>
      <w:sz w:val="28"/>
    </w:rPr>
  </w:style>
  <w:style w:type="paragraph" w:styleId="7">
    <w:name w:val="heading 6"/>
    <w:basedOn w:val="1"/>
    <w:next w:val="1"/>
    <w:qFormat/>
    <w:uiPriority w:val="0"/>
    <w:pPr>
      <w:keepNext/>
      <w:keepLines/>
      <w:tabs>
        <w:tab w:val="left" w:pos="0"/>
      </w:tabs>
      <w:spacing w:before="240" w:after="64" w:line="320" w:lineRule="atLeast"/>
      <w:ind w:left="2550" w:hanging="425"/>
      <w:jc w:val="left"/>
      <w:outlineLvl w:val="5"/>
    </w:pPr>
    <w:rPr>
      <w:rFonts w:ascii="Arial" w:hAnsi="Arial" w:eastAsia="黑体"/>
      <w:b/>
      <w:kern w:val="0"/>
      <w:sz w:val="24"/>
    </w:rPr>
  </w:style>
  <w:style w:type="paragraph" w:styleId="8">
    <w:name w:val="heading 7"/>
    <w:basedOn w:val="1"/>
    <w:next w:val="1"/>
    <w:qFormat/>
    <w:uiPriority w:val="0"/>
    <w:pPr>
      <w:keepNext/>
      <w:keepLines/>
      <w:tabs>
        <w:tab w:val="left" w:pos="0"/>
      </w:tabs>
      <w:spacing w:before="240" w:after="64" w:line="320" w:lineRule="atLeast"/>
      <w:ind w:left="2975" w:hanging="425"/>
      <w:jc w:val="left"/>
      <w:outlineLvl w:val="6"/>
    </w:pPr>
    <w:rPr>
      <w:rFonts w:ascii="宋体"/>
      <w:b/>
      <w:kern w:val="0"/>
      <w:sz w:val="24"/>
    </w:rPr>
  </w:style>
  <w:style w:type="paragraph" w:styleId="9">
    <w:name w:val="heading 8"/>
    <w:basedOn w:val="1"/>
    <w:next w:val="1"/>
    <w:qFormat/>
    <w:uiPriority w:val="0"/>
    <w:pPr>
      <w:keepNext/>
      <w:keepLines/>
      <w:tabs>
        <w:tab w:val="left" w:pos="0"/>
      </w:tabs>
      <w:spacing w:before="240" w:after="64" w:line="320" w:lineRule="atLeast"/>
      <w:ind w:left="3400" w:hanging="425"/>
      <w:jc w:val="left"/>
      <w:outlineLvl w:val="7"/>
    </w:pPr>
    <w:rPr>
      <w:rFonts w:ascii="Arial" w:hAnsi="Arial" w:eastAsia="黑体"/>
      <w:kern w:val="0"/>
      <w:sz w:val="24"/>
    </w:rPr>
  </w:style>
  <w:style w:type="paragraph" w:styleId="10">
    <w:name w:val="heading 9"/>
    <w:basedOn w:val="1"/>
    <w:next w:val="1"/>
    <w:qFormat/>
    <w:uiPriority w:val="0"/>
    <w:pPr>
      <w:keepNext/>
      <w:keepLines/>
      <w:tabs>
        <w:tab w:val="left" w:pos="0"/>
      </w:tabs>
      <w:spacing w:before="240" w:after="64" w:line="320" w:lineRule="atLeast"/>
      <w:ind w:left="3825" w:hanging="425"/>
      <w:jc w:val="left"/>
      <w:outlineLvl w:val="8"/>
    </w:pPr>
    <w:rPr>
      <w:rFonts w:ascii="Arial" w:hAnsi="Arial" w:eastAsia="黑体"/>
      <w:kern w:val="0"/>
      <w:sz w:val="24"/>
    </w:rPr>
  </w:style>
  <w:style w:type="character" w:default="1" w:styleId="21">
    <w:name w:val="Default Paragraph Font"/>
    <w:unhideWhenUsed/>
    <w:qFormat/>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11">
    <w:name w:val="Document Map"/>
    <w:basedOn w:val="1"/>
    <w:semiHidden/>
    <w:qFormat/>
    <w:uiPriority w:val="0"/>
    <w:pPr>
      <w:shd w:val="clear" w:color="auto" w:fill="000080"/>
    </w:pPr>
  </w:style>
  <w:style w:type="paragraph" w:styleId="12">
    <w:name w:val="annotation text"/>
    <w:basedOn w:val="1"/>
    <w:link w:val="26"/>
    <w:qFormat/>
    <w:uiPriority w:val="0"/>
    <w:pPr>
      <w:jc w:val="left"/>
    </w:pPr>
  </w:style>
  <w:style w:type="paragraph" w:styleId="13">
    <w:name w:val="Body Text"/>
    <w:basedOn w:val="1"/>
    <w:qFormat/>
    <w:uiPriority w:val="0"/>
    <w:pPr>
      <w:spacing w:after="120"/>
    </w:pPr>
  </w:style>
  <w:style w:type="paragraph" w:styleId="14">
    <w:name w:val="Body Text Indent"/>
    <w:basedOn w:val="1"/>
    <w:qFormat/>
    <w:uiPriority w:val="0"/>
    <w:pPr>
      <w:snapToGrid w:val="0"/>
      <w:textAlignment w:val="auto"/>
    </w:pPr>
  </w:style>
  <w:style w:type="paragraph" w:styleId="15">
    <w:name w:val="Balloon Text"/>
    <w:basedOn w:val="1"/>
    <w:link w:val="27"/>
    <w:qFormat/>
    <w:uiPriority w:val="0"/>
    <w:pPr>
      <w:spacing w:line="240" w:lineRule="auto"/>
    </w:pPr>
    <w:rPr>
      <w:sz w:val="18"/>
      <w:szCs w:val="18"/>
    </w:rPr>
  </w:style>
  <w:style w:type="paragraph" w:styleId="16">
    <w:name w:val="footer"/>
    <w:basedOn w:val="1"/>
    <w:link w:val="39"/>
    <w:qFormat/>
    <w:uiPriority w:val="0"/>
    <w:pPr>
      <w:tabs>
        <w:tab w:val="center" w:pos="4153"/>
        <w:tab w:val="right" w:pos="8306"/>
      </w:tabs>
      <w:snapToGrid w:val="0"/>
      <w:spacing w:line="240" w:lineRule="atLeast"/>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8">
    <w:name w:val="annotation subject"/>
    <w:basedOn w:val="12"/>
    <w:next w:val="12"/>
    <w:link w:val="28"/>
    <w:qFormat/>
    <w:uiPriority w:val="0"/>
    <w:rPr>
      <w:b/>
      <w:bCs/>
    </w:rPr>
  </w:style>
  <w:style w:type="table" w:styleId="20">
    <w:name w:val="Table Grid"/>
    <w:basedOn w:val="1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rPr>
  </w:style>
  <w:style w:type="character" w:styleId="23">
    <w:name w:val="page number"/>
    <w:qFormat/>
    <w:uiPriority w:val="0"/>
  </w:style>
  <w:style w:type="character" w:styleId="24">
    <w:name w:val="Hyperlink"/>
    <w:qFormat/>
    <w:uiPriority w:val="0"/>
    <w:rPr>
      <w:color w:val="0000FF"/>
      <w:u w:val="single"/>
    </w:rPr>
  </w:style>
  <w:style w:type="character" w:styleId="25">
    <w:name w:val="annotation reference"/>
    <w:qFormat/>
    <w:uiPriority w:val="0"/>
    <w:rPr>
      <w:sz w:val="21"/>
      <w:szCs w:val="21"/>
    </w:rPr>
  </w:style>
  <w:style w:type="character" w:customStyle="1" w:styleId="26">
    <w:name w:val="批注文字 字符"/>
    <w:link w:val="12"/>
    <w:qFormat/>
    <w:uiPriority w:val="0"/>
    <w:rPr>
      <w:rFonts w:eastAsia="华文中宋"/>
      <w:kern w:val="2"/>
      <w:sz w:val="21"/>
    </w:rPr>
  </w:style>
  <w:style w:type="character" w:customStyle="1" w:styleId="27">
    <w:name w:val="批注框文本 字符"/>
    <w:link w:val="15"/>
    <w:qFormat/>
    <w:uiPriority w:val="0"/>
    <w:rPr>
      <w:rFonts w:eastAsia="华文中宋"/>
      <w:kern w:val="2"/>
      <w:sz w:val="18"/>
      <w:szCs w:val="18"/>
    </w:rPr>
  </w:style>
  <w:style w:type="character" w:customStyle="1" w:styleId="28">
    <w:name w:val="批注主题 字符"/>
    <w:link w:val="18"/>
    <w:qFormat/>
    <w:uiPriority w:val="0"/>
    <w:rPr>
      <w:rFonts w:eastAsia="华文中宋"/>
      <w:b/>
      <w:bCs/>
      <w:kern w:val="2"/>
      <w:sz w:val="21"/>
    </w:rPr>
  </w:style>
  <w:style w:type="paragraph" w:customStyle="1" w:styleId="29">
    <w:name w:val="Char1 Char Char Char Char Char Char"/>
    <w:basedOn w:val="1"/>
    <w:qFormat/>
    <w:uiPriority w:val="0"/>
    <w:pPr>
      <w:adjustRightInd/>
      <w:spacing w:line="240" w:lineRule="auto"/>
      <w:ind w:firstLine="0"/>
      <w:textAlignment w:val="auto"/>
    </w:pPr>
    <w:rPr>
      <w:rFonts w:ascii="Tahoma" w:hAnsi="Tahoma" w:eastAsia="宋体"/>
      <w:sz w:val="24"/>
    </w:rPr>
  </w:style>
  <w:style w:type="paragraph" w:customStyle="1" w:styleId="30">
    <w:name w:val="Char Char"/>
    <w:basedOn w:val="1"/>
    <w:qFormat/>
    <w:uiPriority w:val="0"/>
    <w:pPr>
      <w:adjustRightInd/>
      <w:spacing w:line="240" w:lineRule="auto"/>
      <w:ind w:firstLine="0"/>
      <w:textAlignment w:val="auto"/>
    </w:pPr>
    <w:rPr>
      <w:rFonts w:ascii="Tahoma" w:hAnsi="Tahoma" w:eastAsia="宋体"/>
      <w:sz w:val="24"/>
    </w:rPr>
  </w:style>
  <w:style w:type="paragraph" w:customStyle="1" w:styleId="31">
    <w:name w:val="修订1"/>
    <w:semiHidden/>
    <w:qFormat/>
    <w:uiPriority w:val="99"/>
    <w:rPr>
      <w:rFonts w:ascii="Times New Roman" w:hAnsi="Times New Roman" w:eastAsia="华文中宋" w:cs="Times New Roman"/>
      <w:kern w:val="2"/>
      <w:sz w:val="21"/>
      <w:lang w:val="en-US" w:eastAsia="zh-CN" w:bidi="ar-SA"/>
    </w:rPr>
  </w:style>
  <w:style w:type="paragraph" w:customStyle="1" w:styleId="32">
    <w:name w:val="默认段落字体 Para Char Char Char Char"/>
    <w:basedOn w:val="1"/>
    <w:qFormat/>
    <w:uiPriority w:val="0"/>
    <w:pPr>
      <w:adjustRightInd/>
      <w:spacing w:line="240" w:lineRule="auto"/>
      <w:ind w:firstLine="0"/>
      <w:textAlignment w:val="auto"/>
    </w:pPr>
    <w:rPr>
      <w:rFonts w:eastAsia="宋体"/>
      <w:szCs w:val="24"/>
    </w:rPr>
  </w:style>
  <w:style w:type="paragraph" w:customStyle="1" w:styleId="33">
    <w:name w:val="主标题"/>
    <w:basedOn w:val="2"/>
    <w:qFormat/>
    <w:uiPriority w:val="0"/>
    <w:pPr>
      <w:tabs>
        <w:tab w:val="left" w:pos="420"/>
      </w:tabs>
      <w:jc w:val="center"/>
      <w:outlineLvl w:val="9"/>
    </w:pPr>
    <w:rPr>
      <w:sz w:val="36"/>
    </w:rPr>
  </w:style>
  <w:style w:type="table" w:customStyle="1" w:styleId="34">
    <w:name w:val="网格表 4 - 着色 51"/>
    <w:basedOn w:val="19"/>
    <w:qFormat/>
    <w:uiPriority w:val="49"/>
    <w:tblPr>
      <w:tblBorders>
        <w:top w:val="single" w:color="9CC2E5" w:sz="4" w:space="0"/>
        <w:left w:val="single" w:color="9CC2E5" w:sz="4" w:space="0"/>
        <w:bottom w:val="single" w:color="9CC2E5" w:sz="4" w:space="0"/>
        <w:right w:val="single" w:color="9CC2E5" w:sz="4" w:space="0"/>
        <w:insideH w:val="single" w:color="9CC2E5" w:sz="4" w:space="0"/>
        <w:insideV w:val="single" w:color="9CC2E5" w:sz="4" w:space="0"/>
      </w:tblBorders>
    </w:tblPr>
    <w:tblStylePr w:type="firstRow">
      <w:rPr>
        <w:b/>
        <w:bCs/>
        <w:color w:val="FFFFFF"/>
      </w:rPr>
      <w:tcPr>
        <w:tcBorders>
          <w:top w:val="single" w:color="5B9BD5" w:sz="4" w:space="0"/>
          <w:left w:val="single" w:color="5B9BD5" w:sz="4" w:space="0"/>
          <w:bottom w:val="single" w:color="5B9BD5" w:sz="4" w:space="0"/>
          <w:right w:val="single" w:color="5B9BD5" w:sz="4" w:space="0"/>
          <w:insideH w:val="nil"/>
          <w:insideV w:val="nil"/>
          <w:tl2br w:val="nil"/>
          <w:tr2bl w:val="nil"/>
        </w:tcBorders>
        <w:shd w:val="clear" w:color="auto" w:fill="5B9BD5"/>
      </w:tcPr>
    </w:tblStylePr>
    <w:tblStylePr w:type="lastRow">
      <w:rPr>
        <w:b/>
        <w:bCs/>
      </w:rPr>
      <w:tcPr>
        <w:tcBorders>
          <w:top w:val="double" w:color="5B9BD5"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DEEAF6"/>
      </w:tcPr>
    </w:tblStylePr>
    <w:tblStylePr w:type="band1Horz">
      <w:tcPr>
        <w:shd w:val="clear" w:color="auto" w:fill="DEEAF6"/>
      </w:tcPr>
    </w:tblStylePr>
  </w:style>
  <w:style w:type="table" w:customStyle="1" w:styleId="35">
    <w:name w:val="无格式表格 41"/>
    <w:basedOn w:val="19"/>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36">
    <w:name w:val="网格表 21"/>
    <w:basedOn w:val="19"/>
    <w:qFormat/>
    <w:uiPriority w:val="47"/>
    <w:tblPr>
      <w:tblBorders>
        <w:top w:val="single" w:color="666666" w:sz="2" w:space="0"/>
        <w:bottom w:val="single" w:color="666666" w:sz="2" w:space="0"/>
        <w:insideH w:val="single" w:color="666666" w:sz="2" w:space="0"/>
        <w:insideV w:val="single" w:color="666666" w:sz="2" w:space="0"/>
      </w:tblBorders>
    </w:tblPr>
    <w:tblStylePr w:type="firstRow">
      <w:rPr>
        <w:b/>
        <w:bCs/>
      </w:rPr>
      <w:tcPr>
        <w:tcBorders>
          <w:top w:val="nil"/>
          <w:bottom w:val="single" w:color="666666" w:sz="12" w:space="0"/>
          <w:insideH w:val="nil"/>
          <w:insideV w:val="nil"/>
        </w:tcBorders>
        <w:shd w:val="clear" w:color="auto" w:fill="FFFFFF"/>
      </w:tcPr>
    </w:tblStylePr>
    <w:tblStylePr w:type="lastRow">
      <w:rPr>
        <w:b/>
        <w:bCs/>
      </w:rPr>
      <w:tcPr>
        <w:tcBorders>
          <w:top w:val="double" w:color="666666"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table" w:customStyle="1" w:styleId="37">
    <w:name w:val="无格式表格 51"/>
    <w:basedOn w:val="19"/>
    <w:qFormat/>
    <w:uiPriority w:val="45"/>
    <w:tblStylePr w:type="firstRow">
      <w:rPr>
        <w:rFonts w:ascii="等线 Light" w:hAnsi="等线 Light" w:eastAsia="等线 Light" w:cs="Times New Roman"/>
        <w:i/>
        <w:iCs/>
        <w:sz w:val="26"/>
      </w:rPr>
      <w:tcPr>
        <w:tcBorders>
          <w:bottom w:val="single" w:color="7F7F7F" w:sz="4" w:space="0"/>
        </w:tcBorders>
        <w:shd w:val="clear" w:color="auto" w:fill="FFFFFF"/>
      </w:tcPr>
    </w:tblStylePr>
    <w:tblStylePr w:type="lastRow">
      <w:rPr>
        <w:rFonts w:ascii="等线 Light" w:hAnsi="等线 Light" w:eastAsia="等线 Light" w:cs="Times New Roman"/>
        <w:i/>
        <w:iCs/>
        <w:sz w:val="26"/>
      </w:rPr>
      <w:tcPr>
        <w:tcBorders>
          <w:top w:val="single" w:color="7F7F7F" w:sz="4" w:space="0"/>
        </w:tcBorders>
        <w:shd w:val="clear" w:color="auto" w:fill="FFFFFF"/>
      </w:tcPr>
    </w:tblStylePr>
    <w:tblStylePr w:type="firstCol">
      <w:pPr>
        <w:jc w:val="right"/>
      </w:pPr>
      <w:rPr>
        <w:rFonts w:ascii="等线 Light" w:hAnsi="等线 Light" w:eastAsia="等线 Light" w:cs="Times New Roman"/>
        <w:i/>
        <w:iCs/>
        <w:sz w:val="26"/>
      </w:rPr>
      <w:tcPr>
        <w:tcBorders>
          <w:right w:val="single" w:color="7F7F7F" w:sz="4" w:space="0"/>
        </w:tcBorders>
        <w:shd w:val="clear" w:color="auto" w:fill="FFFFFF"/>
      </w:tcPr>
    </w:tblStylePr>
    <w:tblStylePr w:type="lastCol">
      <w:rPr>
        <w:rFonts w:ascii="等线 Light" w:hAnsi="等线 Light" w:eastAsia="等线 Light" w:cs="Times New Roman"/>
        <w:i/>
        <w:iCs/>
        <w:sz w:val="26"/>
      </w:rPr>
      <w:tcPr>
        <w:tcBorders>
          <w:left w:val="single" w:color="7F7F7F" w:sz="4" w:space="0"/>
        </w:tcBorders>
        <w:shd w:val="clear" w:color="auto" w:fill="FFFFFF"/>
      </w:tcPr>
    </w:tblStylePr>
    <w:tblStylePr w:type="band1Vert">
      <w:tcPr>
        <w:shd w:val="clear" w:color="auto" w:fill="F2F2F2"/>
      </w:tcPr>
    </w:tblStylePr>
    <w:tblStylePr w:type="band1Horz">
      <w:tcPr>
        <w:shd w:val="clear" w:color="auto" w:fill="F2F2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customStyle="1" w:styleId="3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39">
    <w:name w:val="页脚 字符"/>
    <w:link w:val="16"/>
    <w:qFormat/>
    <w:uiPriority w:val="0"/>
    <w:rPr>
      <w:rFonts w:eastAsia="华文中宋"/>
      <w:kern w:val="2"/>
      <w:sz w:val="18"/>
      <w:szCs w:val="18"/>
    </w:rPr>
  </w:style>
  <w:style w:type="character" w:customStyle="1" w:styleId="40">
    <w:name w:val="标题 2 字符"/>
    <w:link w:val="3"/>
    <w:qFormat/>
    <w:uiPriority w:val="0"/>
    <w:rPr>
      <w:rFonts w:ascii="Arial" w:hAnsi="Arial" w:eastAsia="楷体_GB2312"/>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http://schemas.openxmlformats.org/officeDocument/2006/bibliography"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A07BD9-80B9-4B23-BDEA-E8F122AF20EE}">
  <ds:schemaRefs/>
</ds:datastoreItem>
</file>

<file path=docProps/app.xml><?xml version="1.0" encoding="utf-8"?>
<Properties xmlns="http://schemas.openxmlformats.org/officeDocument/2006/extended-properties" xmlns:vt="http://schemas.openxmlformats.org/officeDocument/2006/docPropsVTypes">
  <Template>Normal</Template>
  <Company>Corrolab</Company>
  <Pages>3</Pages>
  <Words>873</Words>
  <Characters>1076</Characters>
  <Lines>9</Lines>
  <Paragraphs>2</Paragraphs>
  <TotalTime>635</TotalTime>
  <ScaleCrop>false</ScaleCrop>
  <LinksUpToDate>false</LinksUpToDate>
  <CharactersWithSpaces>1225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2025-06-30T16:01:00Z</dcterms:created>
  <dc:creator>COS</dc:creator>
  <cp:lastModifiedBy>Hii</cp:lastModifiedBy>
  <cp:lastPrinted>2025-06-30T16:01:00Z</cp:lastPrinted>
  <dcterms:modified xsi:type="dcterms:W3CDTF">2026-08-28T02:49:16Z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FF46D1A66D804B6B8D803D53E4844450_13</vt:lpwstr>
  </property>
  <property fmtid="{D5CDD505-2E9C-101B-9397-08002B2CF9AE}" pid="4" name="KSOTemplateDocerSaveRecord">
    <vt:lpwstr>eyJoZGlkIjoiNjYxNGExZWEwNzA0MTA1MzMzMjliYzFkZTczYzA1MDYiLCJ1c2VySWQiOiIyNTU1NjgxMTgifQ==</vt:lpwstr>
  </property>
</Properties>
</file>